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C08" w:rsidRDefault="00664C08" w:rsidP="00664C08">
      <w:pPr>
        <w:jc w:val="center"/>
        <w:rPr>
          <w:b/>
          <w:sz w:val="28"/>
        </w:rPr>
      </w:pPr>
      <w:bookmarkStart w:id="0" w:name="_Hlk214005202"/>
    </w:p>
    <w:p w:rsidR="00664C08" w:rsidRDefault="00664C08" w:rsidP="00664C08">
      <w:pPr>
        <w:jc w:val="center"/>
        <w:rPr>
          <w:b/>
          <w:sz w:val="28"/>
        </w:rPr>
      </w:pPr>
    </w:p>
    <w:p w:rsidR="00664C08" w:rsidRDefault="00664C08" w:rsidP="00664C08">
      <w:pPr>
        <w:jc w:val="center"/>
        <w:rPr>
          <w:b/>
          <w:sz w:val="32"/>
        </w:rPr>
      </w:pPr>
      <w:r w:rsidRPr="00EF5501">
        <w:rPr>
          <w:b/>
          <w:sz w:val="32"/>
        </w:rPr>
        <w:t xml:space="preserve">Regular and Special Issue Operating Policy </w:t>
      </w:r>
    </w:p>
    <w:p w:rsidR="00664C08" w:rsidRPr="00214E19" w:rsidRDefault="00FA2B45" w:rsidP="00664C08">
      <w:pPr>
        <w:jc w:val="center"/>
        <w:rPr>
          <w:sz w:val="22"/>
        </w:rPr>
      </w:pPr>
      <w:r w:rsidRPr="00FA2B45">
        <w:rPr>
          <w:b/>
          <w:bCs/>
          <w:color w:val="0070C0"/>
          <w:sz w:val="22"/>
        </w:rPr>
        <w:t xml:space="preserve">Journal of Sales Science &amp; Strategy </w:t>
      </w:r>
      <w:r w:rsidR="00664C08" w:rsidRPr="00FA2B45">
        <w:rPr>
          <w:b/>
          <w:bCs/>
          <w:color w:val="0070C0"/>
          <w:sz w:val="22"/>
        </w:rPr>
        <w:t>(J</w:t>
      </w:r>
      <w:r w:rsidRPr="00FA2B45">
        <w:rPr>
          <w:b/>
          <w:bCs/>
          <w:color w:val="0070C0"/>
          <w:sz w:val="22"/>
        </w:rPr>
        <w:t>SSS</w:t>
      </w:r>
      <w:r w:rsidR="00664C08" w:rsidRPr="00FA2B45">
        <w:rPr>
          <w:b/>
          <w:bCs/>
          <w:color w:val="0070C0"/>
          <w:sz w:val="22"/>
        </w:rPr>
        <w:t>)</w:t>
      </w:r>
      <w:r w:rsidR="00664C08" w:rsidRPr="00214E19">
        <w:rPr>
          <w:sz w:val="22"/>
        </w:rPr>
        <w:br/>
      </w:r>
      <w:r w:rsidR="00664C08" w:rsidRPr="00214E19">
        <w:rPr>
          <w:b/>
          <w:bCs/>
          <w:sz w:val="22"/>
        </w:rPr>
        <w:t>Seoul School of Integrated Sciences &amp; Technologies (</w:t>
      </w:r>
      <w:proofErr w:type="spellStart"/>
      <w:r w:rsidR="00664C08" w:rsidRPr="00214E19">
        <w:rPr>
          <w:b/>
          <w:bCs/>
          <w:sz w:val="22"/>
        </w:rPr>
        <w:t>aSSIST</w:t>
      </w:r>
      <w:proofErr w:type="spellEnd"/>
      <w:r w:rsidR="00664C08" w:rsidRPr="00214E19">
        <w:rPr>
          <w:b/>
          <w:bCs/>
          <w:sz w:val="22"/>
        </w:rPr>
        <w:t>)</w:t>
      </w:r>
    </w:p>
    <w:p w:rsidR="00664C08" w:rsidRPr="00214E19" w:rsidRDefault="00664C08" w:rsidP="00664C08">
      <w:pPr>
        <w:jc w:val="center"/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Pr="00214E19" w:rsidRDefault="00FA2B45" w:rsidP="00664C08">
      <w:pPr>
        <w:jc w:val="center"/>
        <w:rPr>
          <w:b/>
          <w:bCs/>
          <w:sz w:val="24"/>
        </w:rPr>
      </w:pPr>
      <w:r w:rsidRPr="00FA2B45">
        <w:rPr>
          <w:b/>
          <w:iCs/>
          <w:color w:val="0070C0"/>
          <w:sz w:val="24"/>
        </w:rPr>
        <w:t>Jan</w:t>
      </w:r>
      <w:r w:rsidR="00664C08" w:rsidRPr="00FA2B45">
        <w:rPr>
          <w:b/>
          <w:iCs/>
          <w:color w:val="0070C0"/>
          <w:sz w:val="24"/>
        </w:rPr>
        <w:t xml:space="preserve"> </w:t>
      </w:r>
      <w:r w:rsidRPr="00FA2B45">
        <w:rPr>
          <w:b/>
          <w:iCs/>
          <w:color w:val="0070C0"/>
          <w:sz w:val="24"/>
        </w:rPr>
        <w:t>16</w:t>
      </w:r>
      <w:r w:rsidR="00664C08" w:rsidRPr="00FA2B45">
        <w:rPr>
          <w:b/>
          <w:iCs/>
          <w:color w:val="0070C0"/>
          <w:sz w:val="24"/>
        </w:rPr>
        <w:t xml:space="preserve"> 202</w:t>
      </w:r>
      <w:r w:rsidRPr="00FA2B45">
        <w:rPr>
          <w:b/>
          <w:iCs/>
          <w:color w:val="0070C0"/>
          <w:sz w:val="24"/>
        </w:rPr>
        <w:t>6</w:t>
      </w: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Pr="00214E19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rPr>
          <w:b/>
          <w:bCs/>
        </w:rPr>
      </w:pPr>
    </w:p>
    <w:p w:rsidR="00664C08" w:rsidRDefault="00664C08" w:rsidP="00664C08">
      <w:pPr>
        <w:jc w:val="right"/>
        <w:rPr>
          <w:b/>
          <w:bCs/>
          <w:sz w:val="22"/>
        </w:rPr>
      </w:pPr>
    </w:p>
    <w:p w:rsidR="00664C08" w:rsidRPr="00214E19" w:rsidRDefault="00664C08" w:rsidP="00664C08">
      <w:pPr>
        <w:jc w:val="right"/>
        <w:rPr>
          <w:sz w:val="22"/>
        </w:rPr>
      </w:pPr>
      <w:r w:rsidRPr="00214E19">
        <w:rPr>
          <w:b/>
          <w:bCs/>
          <w:sz w:val="22"/>
        </w:rPr>
        <w:t>Issued by:</w:t>
      </w:r>
      <w:r w:rsidRPr="00214E19">
        <w:rPr>
          <w:sz w:val="22"/>
        </w:rPr>
        <w:t xml:space="preserve"> </w:t>
      </w:r>
      <w:r w:rsidRPr="00FA2B45">
        <w:rPr>
          <w:color w:val="0070C0"/>
          <w:sz w:val="22"/>
        </w:rPr>
        <w:t>J</w:t>
      </w:r>
      <w:r w:rsidR="00FA2B45" w:rsidRPr="00FA2B45">
        <w:rPr>
          <w:color w:val="0070C0"/>
          <w:sz w:val="22"/>
        </w:rPr>
        <w:t>SSS</w:t>
      </w:r>
      <w:r w:rsidRPr="00214E19">
        <w:rPr>
          <w:sz w:val="22"/>
        </w:rPr>
        <w:t xml:space="preserve"> Publication Committee</w:t>
      </w:r>
      <w:r w:rsidRPr="00214E19">
        <w:rPr>
          <w:sz w:val="22"/>
        </w:rPr>
        <w:br/>
      </w:r>
      <w:r w:rsidRPr="00214E19">
        <w:rPr>
          <w:b/>
          <w:bCs/>
          <w:sz w:val="22"/>
        </w:rPr>
        <w:t>Institution:</w:t>
      </w:r>
      <w:r w:rsidRPr="00214E19">
        <w:rPr>
          <w:sz w:val="22"/>
        </w:rPr>
        <w:t xml:space="preserve"> </w:t>
      </w:r>
      <w:r w:rsidRPr="00DB329A">
        <w:rPr>
          <w:color w:val="0070C0"/>
          <w:sz w:val="22"/>
        </w:rPr>
        <w:t>J</w:t>
      </w:r>
      <w:r w:rsidR="00DB329A" w:rsidRPr="00DB329A">
        <w:rPr>
          <w:color w:val="0070C0"/>
          <w:sz w:val="22"/>
        </w:rPr>
        <w:t>SSS</w:t>
      </w:r>
      <w:r w:rsidRPr="00214E19">
        <w:rPr>
          <w:sz w:val="22"/>
        </w:rPr>
        <w:t xml:space="preserve"> · </w:t>
      </w:r>
      <w:proofErr w:type="spellStart"/>
      <w:r w:rsidRPr="00214E19">
        <w:rPr>
          <w:sz w:val="22"/>
        </w:rPr>
        <w:t>aSSIST</w:t>
      </w:r>
      <w:proofErr w:type="spellEnd"/>
      <w:r w:rsidRPr="00214E19">
        <w:rPr>
          <w:sz w:val="22"/>
        </w:rPr>
        <w:br/>
      </w:r>
      <w:r w:rsidRPr="00214E19">
        <w:rPr>
          <w:b/>
          <w:bCs/>
          <w:sz w:val="22"/>
        </w:rPr>
        <w:t>Date:</w:t>
      </w:r>
      <w:r w:rsidRPr="00214E19">
        <w:rPr>
          <w:sz w:val="22"/>
        </w:rPr>
        <w:t xml:space="preserve"> </w:t>
      </w:r>
      <w:r w:rsidR="00DB329A" w:rsidRPr="00DB329A">
        <w:rPr>
          <w:color w:val="0070C0"/>
          <w:sz w:val="22"/>
        </w:rPr>
        <w:t>January</w:t>
      </w:r>
      <w:r w:rsidRPr="00DB329A">
        <w:rPr>
          <w:color w:val="0070C0"/>
          <w:sz w:val="22"/>
        </w:rPr>
        <w:t xml:space="preserve"> </w:t>
      </w:r>
      <w:r w:rsidR="00DB329A" w:rsidRPr="00DB329A">
        <w:rPr>
          <w:color w:val="0070C0"/>
          <w:sz w:val="22"/>
        </w:rPr>
        <w:t>16</w:t>
      </w:r>
      <w:r w:rsidRPr="00214E19">
        <w:rPr>
          <w:sz w:val="22"/>
        </w:rPr>
        <w:br/>
      </w:r>
      <w:r w:rsidRPr="00214E19">
        <w:rPr>
          <w:b/>
          <w:bCs/>
          <w:sz w:val="22"/>
        </w:rPr>
        <w:t>Version:</w:t>
      </w:r>
      <w:r w:rsidRPr="00214E19">
        <w:rPr>
          <w:sz w:val="22"/>
        </w:rPr>
        <w:t xml:space="preserve"> </w:t>
      </w:r>
      <w:r w:rsidRPr="006E29D9">
        <w:rPr>
          <w:color w:val="0070C0"/>
          <w:sz w:val="22"/>
        </w:rPr>
        <w:t>Draft V</w:t>
      </w:r>
      <w:r w:rsidR="006E29D9" w:rsidRPr="006E29D9">
        <w:rPr>
          <w:color w:val="0070C0"/>
          <w:sz w:val="22"/>
        </w:rPr>
        <w:t>2</w:t>
      </w:r>
    </w:p>
    <w:bookmarkEnd w:id="0"/>
    <w:p w:rsidR="00AA6C6B" w:rsidRDefault="00AA6C6B" w:rsidP="00AA6C6B">
      <w:pPr>
        <w:pStyle w:val="a6"/>
        <w:spacing w:after="0"/>
        <w:ind w:leftChars="0" w:left="360"/>
        <w:rPr>
          <w:b/>
          <w:bCs/>
        </w:rPr>
      </w:pPr>
    </w:p>
    <w:p w:rsidR="003A031E" w:rsidRPr="007A0CA4" w:rsidRDefault="003A031E" w:rsidP="007B4921">
      <w:pPr>
        <w:pStyle w:val="a6"/>
        <w:numPr>
          <w:ilvl w:val="0"/>
          <w:numId w:val="1"/>
        </w:numPr>
        <w:ind w:leftChars="0"/>
        <w:rPr>
          <w:b/>
          <w:bCs/>
        </w:rPr>
      </w:pPr>
      <w:r w:rsidRPr="007A0CA4">
        <w:rPr>
          <w:b/>
          <w:bCs/>
        </w:rPr>
        <w:lastRenderedPageBreak/>
        <w:t>Journal Overview</w:t>
      </w:r>
    </w:p>
    <w:p w:rsidR="003A031E" w:rsidRPr="003A031E" w:rsidRDefault="003A031E" w:rsidP="005B6F2D">
      <w:pPr>
        <w:spacing w:after="0"/>
        <w:ind w:leftChars="200" w:left="400"/>
      </w:pPr>
      <w:r w:rsidRPr="003A031E">
        <w:t xml:space="preserve">The </w:t>
      </w:r>
      <w:r w:rsidR="00FA2B45" w:rsidRPr="00FA2B45">
        <w:rPr>
          <w:i/>
          <w:iCs/>
          <w:color w:val="0070C0"/>
        </w:rPr>
        <w:t xml:space="preserve">Journal of Sales Science &amp; Strategy </w:t>
      </w:r>
      <w:r w:rsidRPr="00FA2B45">
        <w:rPr>
          <w:i/>
          <w:iCs/>
          <w:color w:val="0070C0"/>
        </w:rPr>
        <w:t>(J</w:t>
      </w:r>
      <w:r w:rsidR="00FA2B45" w:rsidRPr="00FA2B45">
        <w:rPr>
          <w:i/>
          <w:iCs/>
          <w:color w:val="0070C0"/>
        </w:rPr>
        <w:t>SSS</w:t>
      </w:r>
      <w:r w:rsidRPr="00FA2B45">
        <w:rPr>
          <w:i/>
          <w:iCs/>
          <w:color w:val="0070C0"/>
        </w:rPr>
        <w:t>)</w:t>
      </w:r>
      <w:r w:rsidRPr="003A031E">
        <w:t xml:space="preserve"> is a peer-reviewed academic journal that simultaneously promotes the development of academic theory and practical application in the fields of sales, sales management, and industrial marketing.</w:t>
      </w:r>
      <w:r w:rsidRPr="003A031E">
        <w:br/>
      </w:r>
      <w:r w:rsidRPr="00FA2B45">
        <w:rPr>
          <w:color w:val="0070C0"/>
        </w:rPr>
        <w:t>J</w:t>
      </w:r>
      <w:r w:rsidR="00FA2B45" w:rsidRPr="00FA2B45">
        <w:rPr>
          <w:color w:val="0070C0"/>
        </w:rPr>
        <w:t>SSS</w:t>
      </w:r>
      <w:r w:rsidRPr="003A031E">
        <w:t xml:space="preserve"> operates based on the following core principles:</w:t>
      </w:r>
    </w:p>
    <w:p w:rsidR="003A031E" w:rsidRPr="003A031E" w:rsidRDefault="003A031E" w:rsidP="00FF6103">
      <w:pPr>
        <w:numPr>
          <w:ilvl w:val="0"/>
          <w:numId w:val="3"/>
        </w:numPr>
        <w:spacing w:after="0"/>
      </w:pPr>
      <w:r w:rsidRPr="003A031E">
        <w:rPr>
          <w:b/>
          <w:bCs/>
        </w:rPr>
        <w:t>Double-blind review</w:t>
      </w:r>
    </w:p>
    <w:p w:rsidR="003A031E" w:rsidRPr="003A031E" w:rsidRDefault="003A031E" w:rsidP="00FF6103">
      <w:pPr>
        <w:numPr>
          <w:ilvl w:val="0"/>
          <w:numId w:val="3"/>
        </w:numPr>
        <w:spacing w:after="0"/>
      </w:pPr>
      <w:r w:rsidRPr="003A031E">
        <w:rPr>
          <w:b/>
          <w:bCs/>
        </w:rPr>
        <w:t>Publication ethics (compliance with international best-practice guidelines)</w:t>
      </w:r>
    </w:p>
    <w:p w:rsidR="003A031E" w:rsidRPr="003A031E" w:rsidRDefault="003A031E" w:rsidP="00FF6103">
      <w:pPr>
        <w:numPr>
          <w:ilvl w:val="0"/>
          <w:numId w:val="3"/>
        </w:numPr>
        <w:spacing w:after="0"/>
      </w:pPr>
      <w:r w:rsidRPr="003A031E">
        <w:rPr>
          <w:b/>
          <w:bCs/>
        </w:rPr>
        <w:t>Data transparency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Scope of Topics (Aims &amp; Scope)</w:t>
      </w:r>
      <w:r w:rsidR="00CA3ABB" w:rsidRPr="00CA3ABB">
        <w:rPr>
          <w:b/>
          <w:bCs/>
        </w:rPr>
        <w:t xml:space="preserve">: </w:t>
      </w:r>
      <w:r w:rsidRPr="00FA2B45">
        <w:rPr>
          <w:color w:val="0070C0"/>
        </w:rPr>
        <w:t>J</w:t>
      </w:r>
      <w:r w:rsidR="00FA2B45" w:rsidRPr="00FA2B45">
        <w:rPr>
          <w:color w:val="0070C0"/>
        </w:rPr>
        <w:t>SSS</w:t>
      </w:r>
      <w:r w:rsidRPr="003A031E">
        <w:t xml:space="preserve"> welcomes submissions of research with originality and international significance in the following areas: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Sales Management &amp; Leadership</w:t>
      </w:r>
      <w:r w:rsidR="00CA3ABB" w:rsidRPr="00CA3ABB">
        <w:rPr>
          <w:b/>
          <w:bCs/>
        </w:rPr>
        <w:t xml:space="preserve">: </w:t>
      </w:r>
      <w:r w:rsidRPr="003A031E">
        <w:t>Sales strategy, organizational capabilities, compensation and performance, key account management (KAM), team selling, global sales.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Personal Selling / Buyer–Seller Relationships</w:t>
      </w:r>
      <w:r w:rsidR="00CA3ABB" w:rsidRPr="00CA3ABB">
        <w:rPr>
          <w:b/>
          <w:bCs/>
        </w:rPr>
        <w:t xml:space="preserve">: </w:t>
      </w:r>
      <w:r w:rsidRPr="003A031E">
        <w:t>Trust, relationship-building, negotiation, digital/new-media touchpoints, salesperson motivation and performance.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B2B / Industrial Marketing Strategy</w:t>
      </w:r>
      <w:r w:rsidR="00CA3ABB" w:rsidRPr="00CA3ABB">
        <w:rPr>
          <w:b/>
          <w:bCs/>
        </w:rPr>
        <w:t xml:space="preserve">: </w:t>
      </w:r>
      <w:r w:rsidRPr="003A031E">
        <w:t>Segmentation and positioning, solutions/services, pricing and value propositions, channels/platforms, international/digital B2B.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Sales Technology / Data-Driven Selling</w:t>
      </w:r>
      <w:r w:rsidR="00CA3ABB" w:rsidRPr="00CA3ABB">
        <w:rPr>
          <w:b/>
          <w:bCs/>
        </w:rPr>
        <w:t xml:space="preserve">: </w:t>
      </w:r>
      <w:r w:rsidRPr="003A031E">
        <w:t>CRM, AI, automation, pipeline analysis, forecasting models, text mining, sales metrics.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Education · Training · Ethics</w:t>
      </w:r>
      <w:r w:rsidR="00CA3ABB" w:rsidRPr="00CA3ABB">
        <w:rPr>
          <w:b/>
          <w:bCs/>
        </w:rPr>
        <w:t xml:space="preserve">: </w:t>
      </w:r>
      <w:r w:rsidRPr="003A031E">
        <w:t>Sales education, competency assessment, knowledge transfer, sales ethics, sustainable culture.</w:t>
      </w:r>
    </w:p>
    <w:p w:rsidR="003A031E" w:rsidRPr="003A031E" w:rsidRDefault="003A031E" w:rsidP="00FF6103">
      <w:pPr>
        <w:pStyle w:val="a6"/>
        <w:numPr>
          <w:ilvl w:val="0"/>
          <w:numId w:val="2"/>
        </w:numPr>
        <w:spacing w:after="0"/>
        <w:ind w:leftChars="0"/>
      </w:pPr>
      <w:r w:rsidRPr="00CA3ABB">
        <w:rPr>
          <w:b/>
          <w:bCs/>
        </w:rPr>
        <w:t>Methodology / Measurement</w:t>
      </w:r>
      <w:r w:rsidR="00CA3ABB" w:rsidRPr="00CA3ABB">
        <w:rPr>
          <w:b/>
          <w:bCs/>
        </w:rPr>
        <w:t xml:space="preserve">: </w:t>
      </w:r>
      <w:r w:rsidRPr="003A031E">
        <w:t>Quantitative / qualitative / mixed-methods, experiments, panels, case studies, meta-analyses, measurement tools, model development, empirical data.</w:t>
      </w:r>
    </w:p>
    <w:p w:rsidR="003A031E" w:rsidRPr="007A0CA4" w:rsidRDefault="003A031E" w:rsidP="00FF6103">
      <w:pPr>
        <w:pStyle w:val="a6"/>
        <w:numPr>
          <w:ilvl w:val="0"/>
          <w:numId w:val="1"/>
        </w:numPr>
        <w:spacing w:before="240" w:after="0"/>
        <w:ind w:leftChars="0"/>
        <w:rPr>
          <w:b/>
          <w:bCs/>
        </w:rPr>
      </w:pPr>
      <w:r w:rsidRPr="007A0CA4">
        <w:rPr>
          <w:b/>
          <w:bCs/>
        </w:rPr>
        <w:t>Emphasis on Originality &amp; International Significance</w:t>
      </w:r>
    </w:p>
    <w:p w:rsidR="003A031E" w:rsidRPr="003A031E" w:rsidRDefault="003A031E" w:rsidP="005B6F2D">
      <w:pPr>
        <w:spacing w:after="0"/>
        <w:ind w:leftChars="200" w:left="400"/>
      </w:pPr>
      <w:r w:rsidRPr="00FA2B45">
        <w:rPr>
          <w:color w:val="0070C0"/>
        </w:rPr>
        <w:t>J</w:t>
      </w:r>
      <w:r w:rsidR="00FA2B45" w:rsidRPr="00FA2B45">
        <w:rPr>
          <w:color w:val="0070C0"/>
        </w:rPr>
        <w:t>SSS</w:t>
      </w:r>
      <w:r w:rsidRPr="003A031E">
        <w:t xml:space="preserve"> gives priority to manuscripts that demonstrate clear academic and practical contributions and present global implications through cross-country / cross-industry comparison or international collaboration.</w:t>
      </w:r>
    </w:p>
    <w:p w:rsidR="003A031E" w:rsidRPr="007A0CA4" w:rsidRDefault="003A031E" w:rsidP="00FF6103">
      <w:pPr>
        <w:pStyle w:val="a6"/>
        <w:numPr>
          <w:ilvl w:val="0"/>
          <w:numId w:val="1"/>
        </w:numPr>
        <w:spacing w:before="240" w:after="0"/>
        <w:ind w:leftChars="0"/>
        <w:rPr>
          <w:b/>
          <w:bCs/>
        </w:rPr>
      </w:pPr>
      <w:r w:rsidRPr="007A0CA4">
        <w:rPr>
          <w:b/>
          <w:bCs/>
        </w:rPr>
        <w:t>Manuscript Types Accepted</w:t>
      </w:r>
    </w:p>
    <w:p w:rsidR="003A031E" w:rsidRPr="003A031E" w:rsidRDefault="003A031E" w:rsidP="00FF6103">
      <w:pPr>
        <w:numPr>
          <w:ilvl w:val="0"/>
          <w:numId w:val="4"/>
        </w:numPr>
        <w:spacing w:after="0"/>
      </w:pPr>
      <w:r w:rsidRPr="003A031E">
        <w:t>Original research (theoretical / empirical)</w:t>
      </w:r>
    </w:p>
    <w:p w:rsidR="003A031E" w:rsidRPr="003A031E" w:rsidRDefault="003A031E" w:rsidP="00FF6103">
      <w:pPr>
        <w:numPr>
          <w:ilvl w:val="0"/>
          <w:numId w:val="4"/>
        </w:numPr>
        <w:spacing w:after="0"/>
      </w:pPr>
      <w:r w:rsidRPr="003A031E">
        <w:t>Methodology / data notes</w:t>
      </w:r>
    </w:p>
    <w:p w:rsidR="003A031E" w:rsidRPr="003A031E" w:rsidRDefault="003A031E" w:rsidP="00FF6103">
      <w:pPr>
        <w:numPr>
          <w:ilvl w:val="0"/>
          <w:numId w:val="4"/>
        </w:numPr>
        <w:spacing w:after="0"/>
      </w:pPr>
      <w:r w:rsidRPr="003A031E">
        <w:t>Systematic literature reviews / meta-analyses</w:t>
      </w:r>
    </w:p>
    <w:p w:rsidR="003A031E" w:rsidRPr="003A031E" w:rsidRDefault="003A031E" w:rsidP="00FF6103">
      <w:pPr>
        <w:numPr>
          <w:ilvl w:val="0"/>
          <w:numId w:val="4"/>
        </w:numPr>
        <w:spacing w:after="0"/>
      </w:pPr>
      <w:r w:rsidRPr="003A031E">
        <w:t>Case studies / practice insights (with explicit research foundation)</w:t>
      </w:r>
    </w:p>
    <w:p w:rsidR="003A031E" w:rsidRPr="003A031E" w:rsidRDefault="003A031E" w:rsidP="00FF6103">
      <w:pPr>
        <w:numPr>
          <w:ilvl w:val="0"/>
          <w:numId w:val="4"/>
        </w:numPr>
        <w:spacing w:after="0"/>
      </w:pPr>
      <w:r w:rsidRPr="003A031E">
        <w:t>Short commentaries / debates</w:t>
      </w:r>
    </w:p>
    <w:p w:rsidR="003A031E" w:rsidRPr="003A031E" w:rsidRDefault="003A031E" w:rsidP="00FF6103">
      <w:pPr>
        <w:numPr>
          <w:ilvl w:val="0"/>
          <w:numId w:val="4"/>
        </w:numPr>
        <w:spacing w:after="0"/>
      </w:pPr>
      <w:r w:rsidRPr="003A031E">
        <w:t>Invited editorials</w:t>
      </w:r>
    </w:p>
    <w:p w:rsidR="003A031E" w:rsidRPr="007A0CA4" w:rsidRDefault="003A031E" w:rsidP="007B4921">
      <w:pPr>
        <w:pStyle w:val="a6"/>
        <w:numPr>
          <w:ilvl w:val="0"/>
          <w:numId w:val="1"/>
        </w:numPr>
        <w:spacing w:before="240" w:after="0"/>
        <w:ind w:leftChars="0"/>
        <w:rPr>
          <w:b/>
          <w:bCs/>
        </w:rPr>
      </w:pPr>
      <w:r w:rsidRPr="007A0CA4">
        <w:rPr>
          <w:b/>
          <w:bCs/>
        </w:rPr>
        <w:t>Key Dates (Example Schedule)</w:t>
      </w:r>
    </w:p>
    <w:p w:rsidR="003A031E" w:rsidRPr="003A031E" w:rsidRDefault="003A031E" w:rsidP="00FF6103">
      <w:pPr>
        <w:numPr>
          <w:ilvl w:val="0"/>
          <w:numId w:val="5"/>
        </w:numPr>
        <w:spacing w:after="0"/>
      </w:pPr>
      <w:r w:rsidRPr="003A031E">
        <w:rPr>
          <w:b/>
          <w:bCs/>
        </w:rPr>
        <w:lastRenderedPageBreak/>
        <w:t>Submission deadlines:</w:t>
      </w:r>
      <w:r w:rsidRPr="003A031E">
        <w:t xml:space="preserve"> Twice per year for regular issues</w:t>
      </w:r>
      <w:r w:rsidRPr="003A031E">
        <w:br/>
        <w:t>(e.g., March 31 / September 30)</w:t>
      </w:r>
    </w:p>
    <w:p w:rsidR="003A031E" w:rsidRPr="003A031E" w:rsidRDefault="003A031E" w:rsidP="00FF6103">
      <w:pPr>
        <w:numPr>
          <w:ilvl w:val="0"/>
          <w:numId w:val="5"/>
        </w:numPr>
        <w:spacing w:after="0"/>
      </w:pPr>
      <w:r w:rsidRPr="003A031E">
        <w:rPr>
          <w:b/>
          <w:bCs/>
        </w:rPr>
        <w:t>Desk decision / reviewer assignment:</w:t>
      </w:r>
      <w:r w:rsidRPr="003A031E">
        <w:t xml:space="preserve"> Within 2 weeks after submission</w:t>
      </w:r>
    </w:p>
    <w:p w:rsidR="003A031E" w:rsidRPr="003A031E" w:rsidRDefault="003A031E" w:rsidP="00FF6103">
      <w:pPr>
        <w:numPr>
          <w:ilvl w:val="0"/>
          <w:numId w:val="5"/>
        </w:numPr>
        <w:spacing w:after="0"/>
      </w:pPr>
      <w:r w:rsidRPr="003A031E">
        <w:rPr>
          <w:b/>
          <w:bCs/>
        </w:rPr>
        <w:t>First review decision:</w:t>
      </w:r>
      <w:r w:rsidRPr="003A031E">
        <w:t xml:space="preserve"> Within 6–8 weeks after review begins</w:t>
      </w:r>
    </w:p>
    <w:p w:rsidR="003A031E" w:rsidRPr="003A031E" w:rsidRDefault="003A031E" w:rsidP="00FF6103">
      <w:pPr>
        <w:numPr>
          <w:ilvl w:val="0"/>
          <w:numId w:val="5"/>
        </w:numPr>
        <w:spacing w:after="0"/>
      </w:pPr>
      <w:r w:rsidRPr="003A031E">
        <w:rPr>
          <w:b/>
          <w:bCs/>
        </w:rPr>
        <w:t>Final decision:</w:t>
      </w:r>
      <w:r w:rsidRPr="003A031E">
        <w:t xml:space="preserve"> </w:t>
      </w:r>
      <w:r w:rsidR="007B4921" w:rsidRPr="003A031E">
        <w:t>Typically,</w:t>
      </w:r>
      <w:r w:rsidRPr="003A031E">
        <w:t xml:space="preserve"> within 12–16 weeks including revision rounds</w:t>
      </w:r>
    </w:p>
    <w:p w:rsidR="003A031E" w:rsidRPr="007A0CA4" w:rsidRDefault="003A031E" w:rsidP="00FF6103">
      <w:pPr>
        <w:pStyle w:val="a6"/>
        <w:numPr>
          <w:ilvl w:val="0"/>
          <w:numId w:val="1"/>
        </w:numPr>
        <w:spacing w:before="240" w:after="0"/>
        <w:ind w:leftChars="0"/>
        <w:rPr>
          <w:b/>
          <w:bCs/>
        </w:rPr>
      </w:pPr>
      <w:r w:rsidRPr="007A0CA4">
        <w:rPr>
          <w:b/>
          <w:bCs/>
        </w:rPr>
        <w:t>Submission Format (Summary)</w:t>
      </w:r>
    </w:p>
    <w:p w:rsidR="003A031E" w:rsidRPr="003A031E" w:rsidRDefault="003A031E" w:rsidP="00FF6103">
      <w:pPr>
        <w:pStyle w:val="a6"/>
        <w:numPr>
          <w:ilvl w:val="0"/>
          <w:numId w:val="6"/>
        </w:numPr>
        <w:spacing w:after="0"/>
        <w:ind w:leftChars="0"/>
      </w:pPr>
      <w:r w:rsidRPr="00CA3ABB">
        <w:rPr>
          <w:b/>
          <w:bCs/>
        </w:rPr>
        <w:t>Language</w:t>
      </w:r>
      <w:r w:rsidR="00CA3ABB" w:rsidRPr="00CA3ABB">
        <w:rPr>
          <w:b/>
          <w:bCs/>
        </w:rPr>
        <w:t xml:space="preserve">: </w:t>
      </w:r>
      <w:r w:rsidRPr="003A031E">
        <w:t>English recommended (</w:t>
      </w:r>
      <w:r w:rsidRPr="00A94B2B">
        <w:rPr>
          <w:color w:val="FF0000"/>
        </w:rPr>
        <w:t>Korean allowed with English title, abstract, keywords required</w:t>
      </w:r>
      <w:r w:rsidRPr="003A031E">
        <w:t>)</w:t>
      </w:r>
    </w:p>
    <w:p w:rsidR="003A031E" w:rsidRPr="003A031E" w:rsidRDefault="003A031E" w:rsidP="00FF6103">
      <w:pPr>
        <w:pStyle w:val="a6"/>
        <w:numPr>
          <w:ilvl w:val="0"/>
          <w:numId w:val="6"/>
        </w:numPr>
        <w:spacing w:after="0"/>
        <w:ind w:leftChars="0"/>
      </w:pPr>
      <w:r w:rsidRPr="00CA3ABB">
        <w:rPr>
          <w:b/>
          <w:bCs/>
        </w:rPr>
        <w:t>Length</w:t>
      </w:r>
      <w:r w:rsidR="00CA3ABB" w:rsidRPr="00CA3ABB">
        <w:rPr>
          <w:b/>
          <w:bCs/>
        </w:rPr>
        <w:t xml:space="preserve">: </w:t>
      </w:r>
      <w:r w:rsidRPr="003A031E">
        <w:t>8,000–12,000 words (including notes and references)</w:t>
      </w:r>
    </w:p>
    <w:p w:rsidR="003A031E" w:rsidRPr="003A031E" w:rsidRDefault="003A031E" w:rsidP="00FF6103">
      <w:pPr>
        <w:pStyle w:val="a6"/>
        <w:numPr>
          <w:ilvl w:val="0"/>
          <w:numId w:val="6"/>
        </w:numPr>
        <w:spacing w:after="0"/>
        <w:ind w:leftChars="0"/>
      </w:pPr>
      <w:r w:rsidRPr="00CA3ABB">
        <w:rPr>
          <w:b/>
          <w:bCs/>
        </w:rPr>
        <w:t>Abstract</w:t>
      </w:r>
      <w:r w:rsidR="00CA3ABB" w:rsidRPr="00CA3ABB">
        <w:rPr>
          <w:b/>
          <w:bCs/>
        </w:rPr>
        <w:t xml:space="preserve">: </w:t>
      </w:r>
      <w:r w:rsidRPr="003A031E">
        <w:t>Within 250 words, with 4–6 keywords</w:t>
      </w:r>
    </w:p>
    <w:p w:rsidR="003A031E" w:rsidRPr="003A031E" w:rsidRDefault="003A031E" w:rsidP="00FF6103">
      <w:pPr>
        <w:pStyle w:val="a6"/>
        <w:numPr>
          <w:ilvl w:val="0"/>
          <w:numId w:val="6"/>
        </w:numPr>
        <w:spacing w:after="0"/>
        <w:ind w:leftChars="0"/>
      </w:pPr>
      <w:r w:rsidRPr="00CA3ABB">
        <w:rPr>
          <w:b/>
          <w:bCs/>
        </w:rPr>
        <w:t>Citation</w:t>
      </w:r>
      <w:r w:rsidR="00CA3ABB" w:rsidRPr="00CA3ABB">
        <w:rPr>
          <w:b/>
          <w:bCs/>
        </w:rPr>
        <w:t xml:space="preserve">: </w:t>
      </w:r>
      <w:r w:rsidRPr="003A031E">
        <w:t xml:space="preserve">APA 7th edition (or </w:t>
      </w:r>
      <w:r w:rsidRPr="00264660">
        <w:rPr>
          <w:color w:val="0070C0"/>
        </w:rPr>
        <w:t>J</w:t>
      </w:r>
      <w:r w:rsidR="00264660" w:rsidRPr="00264660">
        <w:rPr>
          <w:color w:val="0070C0"/>
        </w:rPr>
        <w:t>SSS</w:t>
      </w:r>
      <w:r w:rsidRPr="003A031E">
        <w:t>-specified style)</w:t>
      </w:r>
    </w:p>
    <w:p w:rsidR="003A031E" w:rsidRPr="003A031E" w:rsidRDefault="003A031E" w:rsidP="00FF6103">
      <w:pPr>
        <w:pStyle w:val="a6"/>
        <w:numPr>
          <w:ilvl w:val="0"/>
          <w:numId w:val="6"/>
        </w:numPr>
        <w:spacing w:after="0"/>
        <w:ind w:leftChars="0"/>
      </w:pPr>
      <w:r w:rsidRPr="00CA3ABB">
        <w:rPr>
          <w:b/>
          <w:bCs/>
        </w:rPr>
        <w:t>Tables &amp; Figures</w:t>
      </w:r>
      <w:r w:rsidR="00CA3ABB" w:rsidRPr="00CA3ABB">
        <w:rPr>
          <w:b/>
          <w:bCs/>
        </w:rPr>
        <w:t xml:space="preserve">: </w:t>
      </w:r>
      <w:r w:rsidRPr="003A031E">
        <w:t>Must include number, title, and source</w:t>
      </w:r>
    </w:p>
    <w:p w:rsidR="003A031E" w:rsidRPr="003A031E" w:rsidRDefault="003A031E" w:rsidP="00FF6103">
      <w:pPr>
        <w:pStyle w:val="a6"/>
        <w:numPr>
          <w:ilvl w:val="0"/>
          <w:numId w:val="7"/>
        </w:numPr>
        <w:spacing w:after="0"/>
        <w:ind w:leftChars="0"/>
      </w:pPr>
      <w:r w:rsidRPr="003A031E">
        <w:t>High-resolution separate files are recommended</w:t>
      </w:r>
    </w:p>
    <w:p w:rsidR="003A031E" w:rsidRPr="007A0CA4" w:rsidRDefault="003A031E" w:rsidP="007B4921">
      <w:pPr>
        <w:pStyle w:val="a6"/>
        <w:numPr>
          <w:ilvl w:val="0"/>
          <w:numId w:val="1"/>
        </w:numPr>
        <w:spacing w:before="240"/>
        <w:ind w:leftChars="0"/>
        <w:rPr>
          <w:b/>
          <w:bCs/>
        </w:rPr>
      </w:pPr>
      <w:r w:rsidRPr="007A0CA4">
        <w:rPr>
          <w:b/>
          <w:bCs/>
        </w:rPr>
        <w:t>Peer Review &amp; Ethics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Double-blind peer review (minimum two reviewers)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Required prior disclosure and management of conflicts of interest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Prohibition of plagiarism and duplicate publication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Research ethics including IRB/participant consent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Data and code availability must be explicitly stated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Compliance with COPE international ethical guidelines</w:t>
      </w:r>
    </w:p>
    <w:p w:rsidR="003A031E" w:rsidRPr="003A031E" w:rsidRDefault="003A031E" w:rsidP="00FF6103">
      <w:pPr>
        <w:numPr>
          <w:ilvl w:val="0"/>
          <w:numId w:val="8"/>
        </w:numPr>
        <w:spacing w:after="0"/>
      </w:pPr>
      <w:r w:rsidRPr="003A031E">
        <w:t>Corrections / expressions of concern / retractions applied when necessary</w:t>
      </w:r>
    </w:p>
    <w:p w:rsidR="003A031E" w:rsidRPr="007A0CA4" w:rsidRDefault="003A031E" w:rsidP="007B4921">
      <w:pPr>
        <w:pStyle w:val="a6"/>
        <w:numPr>
          <w:ilvl w:val="0"/>
          <w:numId w:val="1"/>
        </w:numPr>
        <w:spacing w:before="240"/>
        <w:ind w:leftChars="0"/>
        <w:rPr>
          <w:b/>
          <w:bCs/>
        </w:rPr>
      </w:pPr>
      <w:r w:rsidRPr="007A0CA4">
        <w:rPr>
          <w:b/>
          <w:bCs/>
        </w:rPr>
        <w:t>Data &amp; Transparency</w:t>
      </w:r>
    </w:p>
    <w:p w:rsidR="003A031E" w:rsidRPr="003A031E" w:rsidRDefault="003A031E" w:rsidP="00FF6103">
      <w:pPr>
        <w:pStyle w:val="a6"/>
        <w:numPr>
          <w:ilvl w:val="0"/>
          <w:numId w:val="11"/>
        </w:numPr>
        <w:spacing w:after="0"/>
        <w:ind w:leftChars="0"/>
      </w:pPr>
      <w:r w:rsidRPr="003A031E">
        <w:t>A “</w:t>
      </w:r>
      <w:r w:rsidRPr="00CA3ABB">
        <w:rPr>
          <w:b/>
          <w:bCs/>
        </w:rPr>
        <w:t>Data / Code Availability Statement</w:t>
      </w:r>
      <w:r w:rsidRPr="003A031E">
        <w:t>” is required.</w:t>
      </w:r>
      <w:r w:rsidR="00CA3ABB">
        <w:t xml:space="preserve"> </w:t>
      </w:r>
      <w:r w:rsidRPr="003A031E">
        <w:t>Authors must select one of the following:</w:t>
      </w:r>
    </w:p>
    <w:p w:rsidR="003A031E" w:rsidRPr="00CA3ABB" w:rsidRDefault="003A031E" w:rsidP="00FF6103">
      <w:pPr>
        <w:pStyle w:val="a6"/>
        <w:numPr>
          <w:ilvl w:val="0"/>
          <w:numId w:val="9"/>
        </w:numPr>
        <w:spacing w:after="0"/>
        <w:ind w:leftChars="0"/>
      </w:pPr>
      <w:r w:rsidRPr="00CA3ABB">
        <w:rPr>
          <w:bCs/>
        </w:rPr>
        <w:t>Openly available</w:t>
      </w:r>
    </w:p>
    <w:p w:rsidR="003A031E" w:rsidRPr="00CA3ABB" w:rsidRDefault="003A031E" w:rsidP="00FF6103">
      <w:pPr>
        <w:pStyle w:val="a6"/>
        <w:numPr>
          <w:ilvl w:val="0"/>
          <w:numId w:val="9"/>
        </w:numPr>
        <w:spacing w:after="0"/>
        <w:ind w:leftChars="0"/>
      </w:pPr>
      <w:r w:rsidRPr="00CA3ABB">
        <w:rPr>
          <w:bCs/>
        </w:rPr>
        <w:t>Available upon request</w:t>
      </w:r>
    </w:p>
    <w:p w:rsidR="003A031E" w:rsidRPr="00CA3ABB" w:rsidRDefault="003A031E" w:rsidP="00FF6103">
      <w:pPr>
        <w:pStyle w:val="a6"/>
        <w:numPr>
          <w:ilvl w:val="0"/>
          <w:numId w:val="9"/>
        </w:numPr>
        <w:spacing w:after="0"/>
        <w:ind w:leftChars="0"/>
      </w:pPr>
      <w:r w:rsidRPr="00CA3ABB">
        <w:rPr>
          <w:bCs/>
        </w:rPr>
        <w:t>Not available with stated justification</w:t>
      </w:r>
    </w:p>
    <w:p w:rsidR="003A031E" w:rsidRPr="00CA3ABB" w:rsidRDefault="003A031E" w:rsidP="00FF6103">
      <w:pPr>
        <w:pStyle w:val="a6"/>
        <w:numPr>
          <w:ilvl w:val="0"/>
          <w:numId w:val="11"/>
        </w:numPr>
        <w:spacing w:after="0"/>
        <w:ind w:leftChars="0"/>
        <w:rPr>
          <w:b/>
        </w:rPr>
      </w:pPr>
      <w:r w:rsidRPr="00CA3ABB">
        <w:rPr>
          <w:b/>
        </w:rPr>
        <w:t>Authors must also disclose:</w:t>
      </w:r>
    </w:p>
    <w:p w:rsidR="003A031E" w:rsidRPr="003A031E" w:rsidRDefault="003A031E" w:rsidP="00FF6103">
      <w:pPr>
        <w:pStyle w:val="a6"/>
        <w:numPr>
          <w:ilvl w:val="0"/>
          <w:numId w:val="10"/>
        </w:numPr>
        <w:spacing w:after="0"/>
        <w:ind w:leftChars="0"/>
      </w:pPr>
      <w:r w:rsidRPr="003A031E">
        <w:t>Funding information</w:t>
      </w:r>
    </w:p>
    <w:p w:rsidR="003A031E" w:rsidRPr="003A031E" w:rsidRDefault="003A031E" w:rsidP="00FF6103">
      <w:pPr>
        <w:pStyle w:val="a6"/>
        <w:numPr>
          <w:ilvl w:val="0"/>
          <w:numId w:val="10"/>
        </w:numPr>
        <w:spacing w:after="0"/>
        <w:ind w:leftChars="0"/>
      </w:pPr>
      <w:r w:rsidRPr="003A031E">
        <w:t>Conflicts of interest</w:t>
      </w:r>
    </w:p>
    <w:p w:rsidR="003A031E" w:rsidRPr="003A031E" w:rsidRDefault="003A031E" w:rsidP="00FF6103">
      <w:pPr>
        <w:pStyle w:val="a6"/>
        <w:numPr>
          <w:ilvl w:val="0"/>
          <w:numId w:val="10"/>
        </w:numPr>
        <w:spacing w:after="0"/>
        <w:ind w:leftChars="0"/>
      </w:pPr>
      <w:r w:rsidRPr="003A031E">
        <w:t>Author contributions (</w:t>
      </w:r>
      <w:proofErr w:type="spellStart"/>
      <w:r w:rsidRPr="003A031E">
        <w:t>CRediT</w:t>
      </w:r>
      <w:proofErr w:type="spellEnd"/>
      <w:r w:rsidRPr="003A031E">
        <w:t xml:space="preserve"> recommended)</w:t>
      </w:r>
    </w:p>
    <w:p w:rsidR="003A031E" w:rsidRPr="007A0CA4" w:rsidRDefault="003A031E" w:rsidP="007B4921">
      <w:pPr>
        <w:pStyle w:val="a6"/>
        <w:numPr>
          <w:ilvl w:val="0"/>
          <w:numId w:val="1"/>
        </w:numPr>
        <w:spacing w:before="240"/>
        <w:ind w:leftChars="0"/>
        <w:rPr>
          <w:b/>
          <w:bCs/>
        </w:rPr>
      </w:pPr>
      <w:r w:rsidRPr="007A0CA4">
        <w:rPr>
          <w:b/>
          <w:bCs/>
        </w:rPr>
        <w:t>Submission &amp; Contact</w:t>
      </w:r>
    </w:p>
    <w:p w:rsidR="003A031E" w:rsidRPr="003A031E" w:rsidRDefault="003A031E" w:rsidP="00FF6103">
      <w:pPr>
        <w:numPr>
          <w:ilvl w:val="0"/>
          <w:numId w:val="12"/>
        </w:numPr>
        <w:spacing w:after="0"/>
      </w:pPr>
      <w:r w:rsidRPr="003A031E">
        <w:rPr>
          <w:b/>
          <w:bCs/>
        </w:rPr>
        <w:lastRenderedPageBreak/>
        <w:t>Submission:</w:t>
      </w:r>
      <w:r w:rsidRPr="003A031E">
        <w:t xml:space="preserve"> Online submission portal or email</w:t>
      </w:r>
      <w:r w:rsidRPr="003A031E">
        <w:br/>
      </w:r>
      <w:r w:rsidRPr="003A031E">
        <w:rPr>
          <w:i/>
          <w:iCs/>
        </w:rPr>
        <w:t>(</w:t>
      </w:r>
      <w:r w:rsidR="002675A5" w:rsidRPr="002675A5">
        <w:rPr>
          <w:i/>
          <w:iCs/>
          <w:color w:val="0070C0"/>
        </w:rPr>
        <w:t>editor@jsss-journal.org</w:t>
      </w:r>
      <w:r w:rsidRPr="003A031E">
        <w:rPr>
          <w:i/>
          <w:iCs/>
        </w:rPr>
        <w:t>)</w:t>
      </w:r>
    </w:p>
    <w:p w:rsidR="003A031E" w:rsidRPr="003A031E" w:rsidRDefault="003A031E" w:rsidP="00FF6103">
      <w:pPr>
        <w:numPr>
          <w:ilvl w:val="0"/>
          <w:numId w:val="12"/>
        </w:numPr>
        <w:spacing w:after="0"/>
      </w:pPr>
      <w:r w:rsidRPr="003A031E">
        <w:rPr>
          <w:b/>
          <w:bCs/>
        </w:rPr>
        <w:t>Inquiries:</w:t>
      </w:r>
      <w:r w:rsidRPr="003A031E">
        <w:t xml:space="preserve"> </w:t>
      </w:r>
      <w:r w:rsidR="0074467A" w:rsidRPr="0074467A">
        <w:rPr>
          <w:color w:val="FF0000"/>
        </w:rPr>
        <w:t>Editor-in-Chief / Associate Editors / Managing Office (email/phone)</w:t>
      </w:r>
    </w:p>
    <w:p w:rsidR="003A031E" w:rsidRPr="007A0CA4" w:rsidRDefault="003A031E" w:rsidP="007B4921">
      <w:pPr>
        <w:pStyle w:val="a6"/>
        <w:numPr>
          <w:ilvl w:val="0"/>
          <w:numId w:val="1"/>
        </w:numPr>
        <w:spacing w:before="240"/>
        <w:ind w:leftChars="0"/>
        <w:rPr>
          <w:b/>
          <w:bCs/>
        </w:rPr>
      </w:pPr>
      <w:r w:rsidRPr="007A0CA4">
        <w:rPr>
          <w:b/>
          <w:bCs/>
        </w:rPr>
        <w:t>Special Issue CFP — Additional Requirements</w:t>
      </w:r>
      <w:bookmarkStart w:id="1" w:name="_GoBack"/>
      <w:bookmarkEnd w:id="1"/>
    </w:p>
    <w:p w:rsidR="003A031E" w:rsidRPr="003A031E" w:rsidRDefault="003A031E" w:rsidP="00835EEE">
      <w:pPr>
        <w:spacing w:after="0"/>
        <w:ind w:leftChars="200" w:left="400"/>
      </w:pPr>
      <w:r w:rsidRPr="003A031E">
        <w:t>For Special Issues exploring specific themes in depth, authors and Guest Editors must comply with the additional policies below.</w:t>
      </w:r>
    </w:p>
    <w:p w:rsidR="003A031E" w:rsidRPr="00835EEE" w:rsidRDefault="003A031E" w:rsidP="00FF6103">
      <w:pPr>
        <w:pStyle w:val="a6"/>
        <w:numPr>
          <w:ilvl w:val="0"/>
          <w:numId w:val="21"/>
        </w:numPr>
        <w:spacing w:after="0"/>
        <w:ind w:leftChars="0"/>
        <w:rPr>
          <w:b/>
        </w:rPr>
      </w:pPr>
      <w:r w:rsidRPr="00835EEE">
        <w:rPr>
          <w:b/>
          <w:bCs/>
        </w:rPr>
        <w:t>Special Issue Proposal (Guest Editor Proposal)</w:t>
      </w:r>
      <w:r w:rsidR="00CA3ABB" w:rsidRPr="00835EEE">
        <w:rPr>
          <w:b/>
          <w:bCs/>
        </w:rPr>
        <w:t xml:space="preserve">, </w:t>
      </w:r>
      <w:r w:rsidRPr="00835EEE">
        <w:rPr>
          <w:b/>
        </w:rPr>
        <w:t>A Special Issue proposal must include: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Topic, background, and academic/practical necessity (1–2 pages)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Scope and 3–5 key questions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Expected manuscript types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Guest Editor credentials (expertise, international background, ethical history)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Recruitment, review, and scheduling plan (deadlines, review process, publication targets)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Potential author/reviewer pool (with international distribution)</w:t>
      </w:r>
    </w:p>
    <w:p w:rsidR="003A031E" w:rsidRPr="007A0CA4" w:rsidRDefault="003A031E" w:rsidP="00FF6103">
      <w:pPr>
        <w:pStyle w:val="a6"/>
        <w:numPr>
          <w:ilvl w:val="0"/>
          <w:numId w:val="22"/>
        </w:numPr>
        <w:spacing w:after="0"/>
        <w:ind w:leftChars="0"/>
      </w:pPr>
      <w:r w:rsidRPr="007A0CA4">
        <w:t>Data, ethics, and conflict-of-interest management plan</w:t>
      </w:r>
    </w:p>
    <w:p w:rsidR="003A031E" w:rsidRPr="00835EEE" w:rsidRDefault="003A031E" w:rsidP="00FF6103">
      <w:pPr>
        <w:pStyle w:val="a6"/>
        <w:numPr>
          <w:ilvl w:val="0"/>
          <w:numId w:val="21"/>
        </w:numPr>
        <w:spacing w:after="0"/>
        <w:ind w:leftChars="0"/>
        <w:rPr>
          <w:b/>
        </w:rPr>
      </w:pPr>
      <w:r w:rsidRPr="00835EEE">
        <w:rPr>
          <w:b/>
          <w:bCs/>
        </w:rPr>
        <w:t>Mandatory SI CFP Statements</w:t>
      </w:r>
      <w:r w:rsidR="00CA3ABB" w:rsidRPr="00835EEE">
        <w:rPr>
          <w:b/>
          <w:bCs/>
        </w:rPr>
        <w:t xml:space="preserve">, </w:t>
      </w:r>
      <w:r w:rsidRPr="00835EEE">
        <w:rPr>
          <w:b/>
        </w:rPr>
        <w:t>The Special Issue CFP must include the following mandatory phrases:</w:t>
      </w:r>
    </w:p>
    <w:p w:rsidR="003A031E" w:rsidRPr="007A0CA4" w:rsidRDefault="003A031E" w:rsidP="00FF6103">
      <w:pPr>
        <w:pStyle w:val="a6"/>
        <w:numPr>
          <w:ilvl w:val="0"/>
          <w:numId w:val="23"/>
        </w:numPr>
        <w:spacing w:after="0"/>
        <w:ind w:leftChars="0"/>
      </w:pPr>
      <w:r w:rsidRPr="007A0CA4">
        <w:t>“</w:t>
      </w:r>
      <w:r w:rsidRPr="00835EEE">
        <w:rPr>
          <w:bCs/>
        </w:rPr>
        <w:t xml:space="preserve">This Special Issue accepts topics aligned with </w:t>
      </w:r>
      <w:r w:rsidRPr="00DC3D48">
        <w:rPr>
          <w:bCs/>
          <w:color w:val="0070C0"/>
        </w:rPr>
        <w:t>J</w:t>
      </w:r>
      <w:r w:rsidR="00DC3D48" w:rsidRPr="00DC3D48">
        <w:rPr>
          <w:bCs/>
          <w:color w:val="0070C0"/>
        </w:rPr>
        <w:t>SSS</w:t>
      </w:r>
      <w:r w:rsidRPr="00835EEE">
        <w:rPr>
          <w:bCs/>
        </w:rPr>
        <w:t>’</w:t>
      </w:r>
      <w:r w:rsidR="00DC3D48">
        <w:rPr>
          <w:bCs/>
        </w:rPr>
        <w:t>s</w:t>
      </w:r>
      <w:r w:rsidRPr="00835EEE">
        <w:rPr>
          <w:bCs/>
        </w:rPr>
        <w:t xml:space="preserve"> Aims &amp; Scope and encourages international and cross-industry perspectives.</w:t>
      </w:r>
      <w:r w:rsidRPr="007A0CA4">
        <w:t>”</w:t>
      </w:r>
    </w:p>
    <w:p w:rsidR="003A031E" w:rsidRPr="003A031E" w:rsidRDefault="003A031E" w:rsidP="00FF6103">
      <w:pPr>
        <w:pStyle w:val="a6"/>
        <w:numPr>
          <w:ilvl w:val="0"/>
          <w:numId w:val="23"/>
        </w:numPr>
        <w:spacing w:after="0"/>
        <w:ind w:leftChars="0"/>
      </w:pPr>
      <w:r w:rsidRPr="007A0CA4">
        <w:t>“</w:t>
      </w:r>
      <w:r w:rsidRPr="00835EEE">
        <w:rPr>
          <w:bCs/>
        </w:rPr>
        <w:t xml:space="preserve">Guest Editors operate according to </w:t>
      </w:r>
      <w:r w:rsidRPr="00DC3D48">
        <w:rPr>
          <w:bCs/>
          <w:color w:val="0070C0"/>
        </w:rPr>
        <w:t>J</w:t>
      </w:r>
      <w:r w:rsidR="00DC3D48" w:rsidRPr="00DC3D48">
        <w:rPr>
          <w:bCs/>
          <w:color w:val="0070C0"/>
        </w:rPr>
        <w:t>SSS</w:t>
      </w:r>
      <w:r w:rsidRPr="00835EEE">
        <w:rPr>
          <w:bCs/>
        </w:rPr>
        <w:t xml:space="preserve"> standards for double-blind review, ethics, and conflict-of-interest management; the Editor-in-Chief retains final decision</w:t>
      </w:r>
      <w:r w:rsidRPr="00835EEE">
        <w:rPr>
          <w:b/>
          <w:bCs/>
        </w:rPr>
        <w:t xml:space="preserve"> authority.</w:t>
      </w:r>
      <w:r w:rsidRPr="003A031E">
        <w:t>”</w:t>
      </w:r>
    </w:p>
    <w:p w:rsidR="003A031E" w:rsidRPr="007A0CA4" w:rsidRDefault="003A031E" w:rsidP="007B4921">
      <w:pPr>
        <w:pStyle w:val="a6"/>
        <w:numPr>
          <w:ilvl w:val="0"/>
          <w:numId w:val="1"/>
        </w:numPr>
        <w:spacing w:before="240"/>
        <w:ind w:leftChars="0"/>
        <w:rPr>
          <w:b/>
          <w:bCs/>
        </w:rPr>
      </w:pPr>
      <w:r w:rsidRPr="007A0CA4">
        <w:rPr>
          <w:b/>
          <w:bCs/>
        </w:rPr>
        <w:t>Evaluation Criteria (Rubric) — Public Summary for Authors</w:t>
      </w:r>
    </w:p>
    <w:p w:rsidR="003A031E" w:rsidRPr="00835EEE" w:rsidRDefault="003A031E" w:rsidP="00FF6103">
      <w:pPr>
        <w:pStyle w:val="a6"/>
        <w:numPr>
          <w:ilvl w:val="0"/>
          <w:numId w:val="24"/>
        </w:numPr>
        <w:spacing w:after="0"/>
        <w:ind w:leftChars="0"/>
        <w:rPr>
          <w:b/>
          <w:bCs/>
        </w:rPr>
      </w:pPr>
      <w:r w:rsidRPr="00835EEE">
        <w:rPr>
          <w:b/>
          <w:bCs/>
        </w:rPr>
        <w:t>Evaluation Dimensions &amp; Sample Weighting</w:t>
      </w:r>
    </w:p>
    <w:tbl>
      <w:tblPr>
        <w:tblStyle w:val="a3"/>
        <w:tblW w:w="8267" w:type="dxa"/>
        <w:tblInd w:w="800" w:type="dxa"/>
        <w:tblLook w:val="04A0" w:firstRow="1" w:lastRow="0" w:firstColumn="1" w:lastColumn="0" w:noHBand="0" w:noVBand="1"/>
      </w:tblPr>
      <w:tblGrid>
        <w:gridCol w:w="2428"/>
        <w:gridCol w:w="4976"/>
        <w:gridCol w:w="863"/>
      </w:tblGrid>
      <w:tr w:rsidR="003A031E" w:rsidRPr="003A031E" w:rsidTr="00835EEE">
        <w:trPr>
          <w:trHeight w:val="368"/>
        </w:trPr>
        <w:tc>
          <w:tcPr>
            <w:tcW w:w="2428" w:type="dxa"/>
            <w:hideMark/>
          </w:tcPr>
          <w:p w:rsidR="003A031E" w:rsidRPr="00835EEE" w:rsidRDefault="003A031E" w:rsidP="00835EEE">
            <w:pPr>
              <w:jc w:val="left"/>
              <w:rPr>
                <w:bCs/>
              </w:rPr>
            </w:pPr>
            <w:r w:rsidRPr="00835EEE">
              <w:rPr>
                <w:bCs/>
              </w:rPr>
              <w:t>Evaluation Dimension</w:t>
            </w:r>
          </w:p>
        </w:tc>
        <w:tc>
          <w:tcPr>
            <w:tcW w:w="4976" w:type="dxa"/>
            <w:hideMark/>
          </w:tcPr>
          <w:p w:rsidR="003A031E" w:rsidRPr="00835EEE" w:rsidRDefault="003A031E" w:rsidP="00835EEE">
            <w:pPr>
              <w:jc w:val="left"/>
              <w:rPr>
                <w:bCs/>
              </w:rPr>
            </w:pPr>
            <w:r w:rsidRPr="00835EEE">
              <w:rPr>
                <w:bCs/>
              </w:rPr>
              <w:t>Key Questions</w:t>
            </w:r>
          </w:p>
        </w:tc>
        <w:tc>
          <w:tcPr>
            <w:tcW w:w="863" w:type="dxa"/>
            <w:hideMark/>
          </w:tcPr>
          <w:p w:rsidR="003A031E" w:rsidRPr="00835EEE" w:rsidRDefault="003A031E" w:rsidP="00835EEE">
            <w:pPr>
              <w:rPr>
                <w:bCs/>
              </w:rPr>
            </w:pPr>
            <w:r w:rsidRPr="00835EEE">
              <w:rPr>
                <w:bCs/>
              </w:rPr>
              <w:t>Weight</w:t>
            </w:r>
          </w:p>
        </w:tc>
      </w:tr>
      <w:tr w:rsidR="003A031E" w:rsidRPr="003A031E" w:rsidTr="00835EEE">
        <w:trPr>
          <w:trHeight w:val="736"/>
        </w:trPr>
        <w:tc>
          <w:tcPr>
            <w:tcW w:w="2428" w:type="dxa"/>
            <w:hideMark/>
          </w:tcPr>
          <w:p w:rsidR="003A031E" w:rsidRPr="00CA3ABB" w:rsidRDefault="003A031E" w:rsidP="00835EEE">
            <w:pPr>
              <w:jc w:val="left"/>
            </w:pPr>
            <w:r w:rsidRPr="00835EEE">
              <w:rPr>
                <w:bCs/>
              </w:rPr>
              <w:t>Originality</w:t>
            </w:r>
          </w:p>
        </w:tc>
        <w:tc>
          <w:tcPr>
            <w:tcW w:w="4976" w:type="dxa"/>
            <w:hideMark/>
          </w:tcPr>
          <w:p w:rsidR="003A031E" w:rsidRPr="00CA3ABB" w:rsidRDefault="003A031E" w:rsidP="00835EEE">
            <w:pPr>
              <w:jc w:val="left"/>
            </w:pPr>
            <w:r w:rsidRPr="00CA3ABB">
              <w:t>Does the paper propose new questions, theories/methods, or data?</w:t>
            </w:r>
          </w:p>
        </w:tc>
        <w:tc>
          <w:tcPr>
            <w:tcW w:w="863" w:type="dxa"/>
            <w:hideMark/>
          </w:tcPr>
          <w:p w:rsidR="003A031E" w:rsidRPr="00CA3ABB" w:rsidRDefault="003A031E" w:rsidP="00835EEE">
            <w:pPr>
              <w:jc w:val="center"/>
            </w:pPr>
            <w:r w:rsidRPr="00CA3ABB">
              <w:t>25%</w:t>
            </w:r>
          </w:p>
        </w:tc>
      </w:tr>
      <w:tr w:rsidR="003A031E" w:rsidRPr="003A031E" w:rsidTr="00835EEE">
        <w:trPr>
          <w:trHeight w:val="736"/>
        </w:trPr>
        <w:tc>
          <w:tcPr>
            <w:tcW w:w="2428" w:type="dxa"/>
            <w:hideMark/>
          </w:tcPr>
          <w:p w:rsidR="003A031E" w:rsidRPr="00CA3ABB" w:rsidRDefault="003A031E" w:rsidP="00835EEE">
            <w:pPr>
              <w:jc w:val="left"/>
            </w:pPr>
            <w:r w:rsidRPr="00835EEE">
              <w:rPr>
                <w:bCs/>
              </w:rPr>
              <w:t>Methodological Validity</w:t>
            </w:r>
          </w:p>
        </w:tc>
        <w:tc>
          <w:tcPr>
            <w:tcW w:w="4976" w:type="dxa"/>
            <w:hideMark/>
          </w:tcPr>
          <w:p w:rsidR="003A031E" w:rsidRPr="00CA3ABB" w:rsidRDefault="003A031E" w:rsidP="00835EEE">
            <w:pPr>
              <w:jc w:val="left"/>
            </w:pPr>
            <w:r w:rsidRPr="00CA3ABB">
              <w:t>Are design, measurement, and analysis appropriate and replicable?</w:t>
            </w:r>
          </w:p>
        </w:tc>
        <w:tc>
          <w:tcPr>
            <w:tcW w:w="863" w:type="dxa"/>
            <w:hideMark/>
          </w:tcPr>
          <w:p w:rsidR="003A031E" w:rsidRPr="00CA3ABB" w:rsidRDefault="003A031E" w:rsidP="00835EEE">
            <w:pPr>
              <w:jc w:val="center"/>
            </w:pPr>
            <w:r w:rsidRPr="00CA3ABB">
              <w:t>20%</w:t>
            </w:r>
          </w:p>
        </w:tc>
      </w:tr>
      <w:tr w:rsidR="003A031E" w:rsidRPr="003A031E" w:rsidTr="00835EEE">
        <w:trPr>
          <w:trHeight w:val="736"/>
        </w:trPr>
        <w:tc>
          <w:tcPr>
            <w:tcW w:w="2428" w:type="dxa"/>
            <w:hideMark/>
          </w:tcPr>
          <w:p w:rsidR="003A031E" w:rsidRPr="00CA3ABB" w:rsidRDefault="003A031E" w:rsidP="00835EEE">
            <w:pPr>
              <w:jc w:val="left"/>
            </w:pPr>
            <w:r w:rsidRPr="00835EEE">
              <w:rPr>
                <w:bCs/>
              </w:rPr>
              <w:t>Global Significance</w:t>
            </w:r>
          </w:p>
        </w:tc>
        <w:tc>
          <w:tcPr>
            <w:tcW w:w="4976" w:type="dxa"/>
            <w:hideMark/>
          </w:tcPr>
          <w:p w:rsidR="003A031E" w:rsidRPr="00CA3ABB" w:rsidRDefault="003A031E" w:rsidP="00835EEE">
            <w:pPr>
              <w:jc w:val="left"/>
            </w:pPr>
            <w:r w:rsidRPr="00CA3ABB">
              <w:t>Does it provide cross-country/industry insights and international value?</w:t>
            </w:r>
          </w:p>
        </w:tc>
        <w:tc>
          <w:tcPr>
            <w:tcW w:w="863" w:type="dxa"/>
            <w:hideMark/>
          </w:tcPr>
          <w:p w:rsidR="003A031E" w:rsidRPr="00CA3ABB" w:rsidRDefault="003A031E" w:rsidP="00835EEE">
            <w:pPr>
              <w:jc w:val="center"/>
            </w:pPr>
            <w:r w:rsidRPr="00CA3ABB">
              <w:t>20%</w:t>
            </w:r>
          </w:p>
        </w:tc>
      </w:tr>
      <w:tr w:rsidR="003A031E" w:rsidRPr="003A031E" w:rsidTr="00835EEE">
        <w:trPr>
          <w:trHeight w:val="736"/>
        </w:trPr>
        <w:tc>
          <w:tcPr>
            <w:tcW w:w="2428" w:type="dxa"/>
            <w:hideMark/>
          </w:tcPr>
          <w:p w:rsidR="003A031E" w:rsidRPr="00CA3ABB" w:rsidRDefault="003A031E" w:rsidP="00835EEE">
            <w:pPr>
              <w:jc w:val="left"/>
            </w:pPr>
            <w:r w:rsidRPr="00835EEE">
              <w:rPr>
                <w:bCs/>
              </w:rPr>
              <w:t>Scholarly/Managerial Contribution</w:t>
            </w:r>
          </w:p>
        </w:tc>
        <w:tc>
          <w:tcPr>
            <w:tcW w:w="4976" w:type="dxa"/>
            <w:hideMark/>
          </w:tcPr>
          <w:p w:rsidR="003A031E" w:rsidRPr="00CA3ABB" w:rsidRDefault="003A031E" w:rsidP="00835EEE">
            <w:pPr>
              <w:jc w:val="left"/>
            </w:pPr>
            <w:r w:rsidRPr="00CA3ABB">
              <w:t>Are theoretical development and practical implications concrete and meaningful?</w:t>
            </w:r>
          </w:p>
        </w:tc>
        <w:tc>
          <w:tcPr>
            <w:tcW w:w="863" w:type="dxa"/>
            <w:hideMark/>
          </w:tcPr>
          <w:p w:rsidR="003A031E" w:rsidRPr="00CA3ABB" w:rsidRDefault="003A031E" w:rsidP="00835EEE">
            <w:pPr>
              <w:jc w:val="center"/>
            </w:pPr>
            <w:r w:rsidRPr="00CA3ABB">
              <w:t>25%</w:t>
            </w:r>
          </w:p>
        </w:tc>
      </w:tr>
      <w:tr w:rsidR="003A031E" w:rsidRPr="003A031E" w:rsidTr="00835EEE">
        <w:trPr>
          <w:trHeight w:val="368"/>
        </w:trPr>
        <w:tc>
          <w:tcPr>
            <w:tcW w:w="2428" w:type="dxa"/>
            <w:hideMark/>
          </w:tcPr>
          <w:p w:rsidR="003A031E" w:rsidRPr="00CA3ABB" w:rsidRDefault="003A031E" w:rsidP="00835EEE">
            <w:pPr>
              <w:jc w:val="left"/>
            </w:pPr>
            <w:r w:rsidRPr="00835EEE">
              <w:rPr>
                <w:bCs/>
              </w:rPr>
              <w:t>Clarity &amp; Completeness</w:t>
            </w:r>
          </w:p>
        </w:tc>
        <w:tc>
          <w:tcPr>
            <w:tcW w:w="4976" w:type="dxa"/>
            <w:hideMark/>
          </w:tcPr>
          <w:p w:rsidR="003A031E" w:rsidRPr="00CA3ABB" w:rsidRDefault="003A031E" w:rsidP="00835EEE">
            <w:pPr>
              <w:jc w:val="left"/>
            </w:pPr>
            <w:r w:rsidRPr="00CA3ABB">
              <w:t>Quality of writing, organization, tables/figures, references</w:t>
            </w:r>
          </w:p>
        </w:tc>
        <w:tc>
          <w:tcPr>
            <w:tcW w:w="863" w:type="dxa"/>
            <w:hideMark/>
          </w:tcPr>
          <w:p w:rsidR="003A031E" w:rsidRPr="00CA3ABB" w:rsidRDefault="003A031E" w:rsidP="00835EEE">
            <w:pPr>
              <w:jc w:val="center"/>
            </w:pPr>
            <w:r w:rsidRPr="00CA3ABB">
              <w:t>10%</w:t>
            </w:r>
          </w:p>
        </w:tc>
      </w:tr>
    </w:tbl>
    <w:p w:rsidR="003A031E" w:rsidRPr="00835EEE" w:rsidRDefault="003A031E" w:rsidP="00FF6103">
      <w:pPr>
        <w:pStyle w:val="a6"/>
        <w:numPr>
          <w:ilvl w:val="0"/>
          <w:numId w:val="24"/>
        </w:numPr>
        <w:spacing w:after="0"/>
        <w:ind w:leftChars="0"/>
        <w:rPr>
          <w:b/>
          <w:bCs/>
        </w:rPr>
      </w:pPr>
      <w:r w:rsidRPr="00835EEE">
        <w:rPr>
          <w:b/>
          <w:bCs/>
        </w:rPr>
        <w:t>Decision Categories</w:t>
      </w:r>
    </w:p>
    <w:p w:rsidR="003A031E" w:rsidRPr="003A031E" w:rsidRDefault="003A031E" w:rsidP="00FF6103">
      <w:pPr>
        <w:numPr>
          <w:ilvl w:val="0"/>
          <w:numId w:val="25"/>
        </w:numPr>
        <w:spacing w:after="0"/>
      </w:pPr>
      <w:r w:rsidRPr="003A031E">
        <w:lastRenderedPageBreak/>
        <w:t>Accept</w:t>
      </w:r>
    </w:p>
    <w:p w:rsidR="003A031E" w:rsidRPr="003A031E" w:rsidRDefault="003A031E" w:rsidP="00FF6103">
      <w:pPr>
        <w:numPr>
          <w:ilvl w:val="0"/>
          <w:numId w:val="25"/>
        </w:numPr>
        <w:spacing w:after="0"/>
      </w:pPr>
      <w:r w:rsidRPr="003A031E">
        <w:t>Minor Revision</w:t>
      </w:r>
    </w:p>
    <w:p w:rsidR="003A031E" w:rsidRPr="003A031E" w:rsidRDefault="003A031E" w:rsidP="00FF6103">
      <w:pPr>
        <w:numPr>
          <w:ilvl w:val="0"/>
          <w:numId w:val="25"/>
        </w:numPr>
        <w:spacing w:after="0"/>
      </w:pPr>
      <w:r w:rsidRPr="003A031E">
        <w:t>Major Revision</w:t>
      </w:r>
    </w:p>
    <w:p w:rsidR="003A031E" w:rsidRPr="003A031E" w:rsidRDefault="003A031E" w:rsidP="00FF6103">
      <w:pPr>
        <w:numPr>
          <w:ilvl w:val="0"/>
          <w:numId w:val="25"/>
        </w:numPr>
        <w:spacing w:after="0"/>
      </w:pPr>
      <w:r w:rsidRPr="003A031E">
        <w:t>Reject</w:t>
      </w:r>
    </w:p>
    <w:p w:rsidR="003A031E" w:rsidRPr="003A031E" w:rsidRDefault="003A031E" w:rsidP="00FF6103">
      <w:pPr>
        <w:pStyle w:val="a6"/>
        <w:numPr>
          <w:ilvl w:val="0"/>
          <w:numId w:val="24"/>
        </w:numPr>
        <w:spacing w:after="0"/>
        <w:ind w:leftChars="0"/>
      </w:pPr>
      <w:r w:rsidRPr="00835EEE">
        <w:rPr>
          <w:b/>
          <w:bCs/>
        </w:rPr>
        <w:t>Expected Standard</w:t>
      </w:r>
      <w:r w:rsidR="00835EEE" w:rsidRPr="00835EEE">
        <w:rPr>
          <w:b/>
          <w:bCs/>
        </w:rPr>
        <w:t xml:space="preserve">: </w:t>
      </w:r>
      <w:r w:rsidRPr="003A031E">
        <w:t xml:space="preserve">A manuscript is preferred when </w:t>
      </w:r>
      <w:r w:rsidRPr="00835EEE">
        <w:rPr>
          <w:b/>
          <w:bCs/>
        </w:rPr>
        <w:t>two or more</w:t>
      </w:r>
      <w:r w:rsidRPr="003A031E">
        <w:t xml:space="preserve"> of the “Originality · International Significance · Practical Contribution” elements are excellent, and the remaining one is at a level that can be improved.</w:t>
      </w:r>
    </w:p>
    <w:p w:rsidR="003A031E" w:rsidRPr="003A031E" w:rsidRDefault="007A0CA4" w:rsidP="007B4921">
      <w:pPr>
        <w:spacing w:before="240"/>
        <w:rPr>
          <w:b/>
          <w:bCs/>
        </w:rPr>
      </w:pPr>
      <w:r>
        <w:rPr>
          <w:b/>
          <w:bCs/>
        </w:rPr>
        <w:t xml:space="preserve">11. </w:t>
      </w:r>
      <w:r w:rsidR="003A031E" w:rsidRPr="003A031E">
        <w:rPr>
          <w:b/>
          <w:bCs/>
        </w:rPr>
        <w:t>Author Submission Package Checklist (Web Download Summary)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Anonymous manuscript (no authors, affiliations, acknowledgements)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Separate title page (title, authors, affiliations, ORCID, corresponding author contact)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Abstract (≤250 words), keywords (4–6)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Main text (APA 7th; include table/figure captions &amp; sources)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Appendices / measurement tools / supplemental analyses (if applicable)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Data/Code Availability Statement (link or justification)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Funding · Conflict of interest · Author contribution (</w:t>
      </w:r>
      <w:proofErr w:type="spellStart"/>
      <w:r w:rsidRPr="003A031E">
        <w:t>CRediT</w:t>
      </w:r>
      <w:proofErr w:type="spellEnd"/>
      <w:r w:rsidRPr="003A031E">
        <w:t>)</w:t>
      </w:r>
    </w:p>
    <w:p w:rsidR="003A031E" w:rsidRPr="003A031E" w:rsidRDefault="003A031E" w:rsidP="00FF6103">
      <w:pPr>
        <w:numPr>
          <w:ilvl w:val="0"/>
          <w:numId w:val="13"/>
        </w:numPr>
        <w:spacing w:after="0"/>
      </w:pPr>
      <w:r w:rsidRPr="003A031E">
        <w:t>IRB approval / consent and Research Ethics Compliance Form</w:t>
      </w:r>
    </w:p>
    <w:p w:rsidR="003A031E" w:rsidRPr="003A031E" w:rsidRDefault="007A0CA4" w:rsidP="007B4921">
      <w:pPr>
        <w:spacing w:before="240"/>
        <w:rPr>
          <w:b/>
          <w:bCs/>
        </w:rPr>
      </w:pPr>
      <w:r>
        <w:rPr>
          <w:b/>
          <w:bCs/>
        </w:rPr>
        <w:t xml:space="preserve">12. </w:t>
      </w:r>
      <w:r w:rsidR="003A031E" w:rsidRPr="003A031E">
        <w:rPr>
          <w:b/>
          <w:bCs/>
        </w:rPr>
        <w:t>Review &amp; Publication Timeline SLA (Public Summary)</w:t>
      </w:r>
    </w:p>
    <w:p w:rsidR="003A031E" w:rsidRPr="003A031E" w:rsidRDefault="003A031E" w:rsidP="00FF6103">
      <w:pPr>
        <w:numPr>
          <w:ilvl w:val="0"/>
          <w:numId w:val="14"/>
        </w:numPr>
        <w:spacing w:after="0"/>
      </w:pPr>
      <w:r w:rsidRPr="003A031E">
        <w:rPr>
          <w:b/>
          <w:bCs/>
        </w:rPr>
        <w:t>Desk decision:</w:t>
      </w:r>
      <w:r w:rsidRPr="003A031E">
        <w:t xml:space="preserve"> 10–14 days after submission</w:t>
      </w:r>
    </w:p>
    <w:p w:rsidR="003A031E" w:rsidRPr="003A031E" w:rsidRDefault="003A031E" w:rsidP="00FF6103">
      <w:pPr>
        <w:numPr>
          <w:ilvl w:val="0"/>
          <w:numId w:val="14"/>
        </w:numPr>
        <w:spacing w:after="0"/>
      </w:pPr>
      <w:r w:rsidRPr="003A031E">
        <w:rPr>
          <w:b/>
          <w:bCs/>
        </w:rPr>
        <w:t>First review result:</w:t>
      </w:r>
      <w:r w:rsidRPr="003A031E">
        <w:t xml:space="preserve"> 6–8 weeks after review begins</w:t>
      </w:r>
    </w:p>
    <w:p w:rsidR="003A031E" w:rsidRPr="003A031E" w:rsidRDefault="003A031E" w:rsidP="00FF6103">
      <w:pPr>
        <w:numPr>
          <w:ilvl w:val="0"/>
          <w:numId w:val="14"/>
        </w:numPr>
        <w:spacing w:after="0"/>
      </w:pPr>
      <w:r w:rsidRPr="003A031E">
        <w:rPr>
          <w:b/>
          <w:bCs/>
        </w:rPr>
        <w:t>Revision deadlines:</w:t>
      </w:r>
    </w:p>
    <w:p w:rsidR="003A031E" w:rsidRPr="003A031E" w:rsidRDefault="003A031E" w:rsidP="00FF6103">
      <w:pPr>
        <w:numPr>
          <w:ilvl w:val="1"/>
          <w:numId w:val="15"/>
        </w:numPr>
        <w:spacing w:after="0"/>
      </w:pPr>
      <w:r w:rsidRPr="003A031E">
        <w:t>Minor: 2–3 weeks</w:t>
      </w:r>
    </w:p>
    <w:p w:rsidR="003A031E" w:rsidRPr="003A031E" w:rsidRDefault="003A031E" w:rsidP="00FF6103">
      <w:pPr>
        <w:numPr>
          <w:ilvl w:val="1"/>
          <w:numId w:val="15"/>
        </w:numPr>
        <w:spacing w:after="0"/>
      </w:pPr>
      <w:r w:rsidRPr="003A031E">
        <w:t>Major: 4–6 weeks</w:t>
      </w:r>
    </w:p>
    <w:p w:rsidR="003A031E" w:rsidRPr="003A031E" w:rsidRDefault="003A031E" w:rsidP="00FF6103">
      <w:pPr>
        <w:numPr>
          <w:ilvl w:val="0"/>
          <w:numId w:val="14"/>
        </w:numPr>
        <w:spacing w:after="0"/>
      </w:pPr>
      <w:r w:rsidRPr="003A031E">
        <w:rPr>
          <w:b/>
          <w:bCs/>
        </w:rPr>
        <w:t>Final decision:</w:t>
      </w:r>
      <w:r w:rsidRPr="003A031E">
        <w:t xml:space="preserve"> </w:t>
      </w:r>
      <w:proofErr w:type="gramStart"/>
      <w:r w:rsidRPr="003A031E">
        <w:t>Typically</w:t>
      </w:r>
      <w:proofErr w:type="gramEnd"/>
      <w:r w:rsidRPr="003A031E">
        <w:t xml:space="preserve"> 12–16 weeks including revision rounds</w:t>
      </w:r>
    </w:p>
    <w:p w:rsidR="003A031E" w:rsidRPr="003A031E" w:rsidRDefault="003A031E" w:rsidP="00FF6103">
      <w:pPr>
        <w:numPr>
          <w:ilvl w:val="0"/>
          <w:numId w:val="14"/>
        </w:numPr>
        <w:spacing w:after="0"/>
      </w:pPr>
      <w:r w:rsidRPr="003A031E">
        <w:rPr>
          <w:b/>
          <w:bCs/>
        </w:rPr>
        <w:t>e-First publication:</w:t>
      </w:r>
      <w:r w:rsidRPr="003A031E">
        <w:t xml:space="preserve"> Immediately after final proofreading (before final issue assignment)</w:t>
      </w:r>
    </w:p>
    <w:p w:rsidR="003A031E" w:rsidRPr="003A031E" w:rsidRDefault="003A031E" w:rsidP="00CA3ABB">
      <w:pPr>
        <w:spacing w:after="0"/>
        <w:ind w:leftChars="200" w:left="400"/>
      </w:pPr>
      <w:r w:rsidRPr="003A031E">
        <w:rPr>
          <w:i/>
          <w:iCs/>
        </w:rPr>
        <w:t>Annual statistical averages are published for transparency.</w:t>
      </w:r>
    </w:p>
    <w:p w:rsidR="003A031E" w:rsidRPr="003A031E" w:rsidRDefault="007A0CA4" w:rsidP="007B4921">
      <w:pPr>
        <w:spacing w:before="240"/>
        <w:rPr>
          <w:b/>
          <w:bCs/>
        </w:rPr>
      </w:pPr>
      <w:r>
        <w:rPr>
          <w:b/>
          <w:bCs/>
        </w:rPr>
        <w:t xml:space="preserve">13. </w:t>
      </w:r>
      <w:r w:rsidR="003A031E" w:rsidRPr="003A031E">
        <w:rPr>
          <w:b/>
          <w:bCs/>
        </w:rPr>
        <w:t>Ethics · Transparency · Open Access Notice (Public Summary)</w:t>
      </w:r>
    </w:p>
    <w:p w:rsidR="003A031E" w:rsidRPr="003A031E" w:rsidRDefault="003A031E" w:rsidP="00FF6103">
      <w:pPr>
        <w:numPr>
          <w:ilvl w:val="0"/>
          <w:numId w:val="16"/>
        </w:numPr>
        <w:spacing w:after="0"/>
      </w:pPr>
      <w:r w:rsidRPr="00DC3D48">
        <w:rPr>
          <w:color w:val="0070C0"/>
        </w:rPr>
        <w:t>J</w:t>
      </w:r>
      <w:r w:rsidR="00DC3D48" w:rsidRPr="00DC3D48">
        <w:rPr>
          <w:color w:val="0070C0"/>
        </w:rPr>
        <w:t>SSS</w:t>
      </w:r>
      <w:r w:rsidRPr="003A031E">
        <w:t xml:space="preserve"> complies with double-blind peer review, COPE ethics, and data transparency principles.</w:t>
      </w:r>
    </w:p>
    <w:p w:rsidR="003A031E" w:rsidRPr="003A031E" w:rsidRDefault="003A031E" w:rsidP="00FF6103">
      <w:pPr>
        <w:numPr>
          <w:ilvl w:val="0"/>
          <w:numId w:val="16"/>
        </w:numPr>
        <w:spacing w:after="0"/>
      </w:pPr>
      <w:r w:rsidRPr="003A031E">
        <w:t>Authors must confirm originality, no duplicate submission, conflict-of-interest disclosure, and IRB/consent compliance.</w:t>
      </w:r>
    </w:p>
    <w:p w:rsidR="003A031E" w:rsidRPr="003A031E" w:rsidRDefault="003A031E" w:rsidP="00FF6103">
      <w:pPr>
        <w:numPr>
          <w:ilvl w:val="0"/>
          <w:numId w:val="16"/>
        </w:numPr>
        <w:spacing w:after="0"/>
      </w:pPr>
      <w:r w:rsidRPr="003A031E">
        <w:t>Open Access license (CC BY, etc.) and APC policy are disclosed on the website.</w:t>
      </w:r>
    </w:p>
    <w:p w:rsidR="003A031E" w:rsidRPr="003A031E" w:rsidRDefault="003A031E" w:rsidP="00FF6103">
      <w:pPr>
        <w:numPr>
          <w:ilvl w:val="0"/>
          <w:numId w:val="16"/>
        </w:numPr>
        <w:spacing w:after="0"/>
      </w:pPr>
      <w:r w:rsidRPr="003A031E">
        <w:t>Editors/reviewers may receive fee waivers or exemptions.</w:t>
      </w:r>
    </w:p>
    <w:p w:rsidR="003A031E" w:rsidRPr="003A031E" w:rsidRDefault="003A031E" w:rsidP="00FF6103">
      <w:pPr>
        <w:numPr>
          <w:ilvl w:val="0"/>
          <w:numId w:val="16"/>
        </w:numPr>
        <w:spacing w:after="0"/>
      </w:pPr>
      <w:r w:rsidRPr="003A031E">
        <w:t>Long-term archiving is guaranteed through LOCKSS/Portico.</w:t>
      </w:r>
    </w:p>
    <w:p w:rsidR="003A031E" w:rsidRPr="003A031E" w:rsidRDefault="003A031E" w:rsidP="007B4921">
      <w:pPr>
        <w:spacing w:before="240"/>
        <w:rPr>
          <w:b/>
          <w:bCs/>
        </w:rPr>
      </w:pPr>
      <w:r w:rsidRPr="003A031E">
        <w:rPr>
          <w:b/>
          <w:bCs/>
        </w:rPr>
        <w:lastRenderedPageBreak/>
        <w:t>14. Submission Format Details (Template Guidance Summary)</w:t>
      </w:r>
    </w:p>
    <w:p w:rsidR="003A031E" w:rsidRPr="003A031E" w:rsidRDefault="003A031E" w:rsidP="00FF6103">
      <w:pPr>
        <w:numPr>
          <w:ilvl w:val="0"/>
          <w:numId w:val="17"/>
        </w:numPr>
        <w:spacing w:after="0"/>
      </w:pPr>
      <w:r w:rsidRPr="003A031E">
        <w:rPr>
          <w:b/>
          <w:bCs/>
        </w:rPr>
        <w:t>Font / Size / Margin:</w:t>
      </w:r>
      <w:r w:rsidRPr="003A031E">
        <w:t xml:space="preserve"> Journal template (Word / LaTeX) recommended</w:t>
      </w:r>
    </w:p>
    <w:p w:rsidR="003A031E" w:rsidRPr="003A031E" w:rsidRDefault="003A031E" w:rsidP="00FF6103">
      <w:pPr>
        <w:numPr>
          <w:ilvl w:val="0"/>
          <w:numId w:val="17"/>
        </w:numPr>
        <w:spacing w:after="0"/>
      </w:pPr>
      <w:r w:rsidRPr="003A031E">
        <w:rPr>
          <w:b/>
          <w:bCs/>
        </w:rPr>
        <w:t>Tables/Figures:</w:t>
      </w:r>
      <w:r w:rsidRPr="003A031E">
        <w:t xml:space="preserve"> Must be independently interpretable with title, description, source; submit high-resolution files (PNG/EPS)</w:t>
      </w:r>
    </w:p>
    <w:p w:rsidR="003A031E" w:rsidRPr="003A031E" w:rsidRDefault="003A031E" w:rsidP="00FF6103">
      <w:pPr>
        <w:numPr>
          <w:ilvl w:val="0"/>
          <w:numId w:val="17"/>
        </w:numPr>
        <w:spacing w:after="0"/>
      </w:pPr>
      <w:r w:rsidRPr="003A031E">
        <w:rPr>
          <w:b/>
          <w:bCs/>
        </w:rPr>
        <w:t>Statistics/Code:</w:t>
      </w:r>
      <w:r w:rsidRPr="003A031E">
        <w:t xml:space="preserve"> Specify package names and versions; ensure reproducibility (random seed, preregistration when applicable)</w:t>
      </w:r>
    </w:p>
    <w:p w:rsidR="003A031E" w:rsidRPr="003A031E" w:rsidRDefault="003A031E" w:rsidP="00FF6103">
      <w:pPr>
        <w:numPr>
          <w:ilvl w:val="0"/>
          <w:numId w:val="17"/>
        </w:numPr>
        <w:spacing w:after="0"/>
      </w:pPr>
      <w:r w:rsidRPr="003A031E">
        <w:rPr>
          <w:b/>
          <w:bCs/>
        </w:rPr>
        <w:t>Ethics:</w:t>
      </w:r>
      <w:r w:rsidRPr="003A031E">
        <w:t xml:space="preserve"> Human/organizational data must be anonymized with protection measures</w:t>
      </w:r>
    </w:p>
    <w:p w:rsidR="003A031E" w:rsidRPr="003A031E" w:rsidRDefault="003A031E" w:rsidP="007B4921">
      <w:pPr>
        <w:spacing w:before="240"/>
        <w:rPr>
          <w:b/>
          <w:bCs/>
        </w:rPr>
      </w:pPr>
      <w:r w:rsidRPr="003A031E">
        <w:rPr>
          <w:b/>
          <w:bCs/>
        </w:rPr>
        <w:t>15. Additional Submission Format Details</w:t>
      </w:r>
    </w:p>
    <w:p w:rsidR="003A031E" w:rsidRPr="003A031E" w:rsidRDefault="003A031E" w:rsidP="00FF6103">
      <w:pPr>
        <w:pStyle w:val="a6"/>
        <w:numPr>
          <w:ilvl w:val="0"/>
          <w:numId w:val="18"/>
        </w:numPr>
        <w:spacing w:after="0"/>
        <w:ind w:leftChars="0"/>
      </w:pPr>
      <w:r w:rsidRPr="003A031E">
        <w:t>This CFP is applied together with:</w:t>
      </w:r>
    </w:p>
    <w:p w:rsidR="003A031E" w:rsidRPr="003A031E" w:rsidRDefault="003A031E" w:rsidP="00FF6103">
      <w:pPr>
        <w:numPr>
          <w:ilvl w:val="0"/>
          <w:numId w:val="19"/>
        </w:numPr>
        <w:spacing w:after="0"/>
      </w:pPr>
      <w:r w:rsidRPr="00DC3D48">
        <w:rPr>
          <w:color w:val="0070C0"/>
        </w:rPr>
        <w:t>J</w:t>
      </w:r>
      <w:r w:rsidR="00DC3D48" w:rsidRPr="00DC3D48">
        <w:rPr>
          <w:color w:val="0070C0"/>
        </w:rPr>
        <w:t>SSS</w:t>
      </w:r>
      <w:r w:rsidRPr="003A031E">
        <w:t xml:space="preserve"> Aims &amp; Scope</w:t>
      </w:r>
    </w:p>
    <w:p w:rsidR="003A031E" w:rsidRPr="003A031E" w:rsidRDefault="003A031E" w:rsidP="00FF6103">
      <w:pPr>
        <w:numPr>
          <w:ilvl w:val="0"/>
          <w:numId w:val="19"/>
        </w:numPr>
        <w:spacing w:after="0"/>
      </w:pPr>
      <w:r w:rsidRPr="003A031E">
        <w:t>Peer Review Policy</w:t>
      </w:r>
    </w:p>
    <w:p w:rsidR="003A031E" w:rsidRPr="003A031E" w:rsidRDefault="003A031E" w:rsidP="00FF6103">
      <w:pPr>
        <w:numPr>
          <w:ilvl w:val="0"/>
          <w:numId w:val="19"/>
        </w:numPr>
        <w:spacing w:after="0"/>
      </w:pPr>
      <w:r w:rsidRPr="003A031E">
        <w:t>Ethics &amp; Transparency Policy</w:t>
      </w:r>
    </w:p>
    <w:p w:rsidR="003A031E" w:rsidRPr="003A031E" w:rsidRDefault="003A031E" w:rsidP="00FF6103">
      <w:pPr>
        <w:numPr>
          <w:ilvl w:val="0"/>
          <w:numId w:val="19"/>
        </w:numPr>
        <w:spacing w:after="0"/>
      </w:pPr>
      <w:r w:rsidRPr="003A031E">
        <w:t>Author Guidelines</w:t>
      </w:r>
    </w:p>
    <w:p w:rsidR="003A031E" w:rsidRPr="003A031E" w:rsidRDefault="003A031E" w:rsidP="00FF6103">
      <w:pPr>
        <w:pStyle w:val="a6"/>
        <w:numPr>
          <w:ilvl w:val="0"/>
          <w:numId w:val="18"/>
        </w:numPr>
        <w:spacing w:after="0"/>
        <w:ind w:leftChars="0"/>
      </w:pPr>
      <w:r w:rsidRPr="003A031E">
        <w:t>The Editorial Office follows COPE procedures for suspected ethical violations (correction, expression of concern, retraction).</w:t>
      </w:r>
    </w:p>
    <w:p w:rsidR="003A031E" w:rsidRPr="003A031E" w:rsidRDefault="003A031E" w:rsidP="00FF6103">
      <w:pPr>
        <w:pStyle w:val="a6"/>
        <w:numPr>
          <w:ilvl w:val="0"/>
          <w:numId w:val="18"/>
        </w:numPr>
        <w:spacing w:after="0"/>
        <w:ind w:leftChars="0"/>
      </w:pPr>
      <w:r w:rsidRPr="003A031E">
        <w:t>Timelines may be adjusted based on submission volume and review conditions; updates are announced on the website.</w:t>
      </w:r>
    </w:p>
    <w:p w:rsidR="003A031E" w:rsidRPr="003A031E" w:rsidRDefault="003A031E" w:rsidP="007B4921">
      <w:pPr>
        <w:spacing w:before="240"/>
        <w:rPr>
          <w:b/>
          <w:bCs/>
        </w:rPr>
      </w:pPr>
      <w:r w:rsidRPr="003A031E">
        <w:rPr>
          <w:b/>
          <w:bCs/>
        </w:rPr>
        <w:t>16. Frequently Asked Questions (FAQ)</w:t>
      </w:r>
    </w:p>
    <w:p w:rsidR="003A031E" w:rsidRPr="003A031E" w:rsidRDefault="003A031E" w:rsidP="00FF6103">
      <w:pPr>
        <w:pStyle w:val="a6"/>
        <w:numPr>
          <w:ilvl w:val="0"/>
          <w:numId w:val="20"/>
        </w:numPr>
        <w:spacing w:after="0"/>
        <w:ind w:leftChars="0"/>
      </w:pPr>
      <w:r w:rsidRPr="00CA3ABB">
        <w:rPr>
          <w:b/>
          <w:bCs/>
        </w:rPr>
        <w:t>Q1. Is Korean submission allowed?</w:t>
      </w:r>
      <w:r w:rsidRPr="003A031E">
        <w:br/>
      </w:r>
      <w:r w:rsidRPr="00D572CA">
        <w:rPr>
          <w:color w:val="FF0000"/>
        </w:rPr>
        <w:t>English submissions are recommended for international readership.</w:t>
      </w:r>
    </w:p>
    <w:p w:rsidR="003A031E" w:rsidRPr="003A031E" w:rsidRDefault="003A031E" w:rsidP="00FF6103">
      <w:pPr>
        <w:pStyle w:val="a6"/>
        <w:numPr>
          <w:ilvl w:val="0"/>
          <w:numId w:val="20"/>
        </w:numPr>
        <w:spacing w:after="0"/>
        <w:ind w:leftChars="0"/>
      </w:pPr>
      <w:r w:rsidRPr="00CA3ABB">
        <w:rPr>
          <w:b/>
          <w:bCs/>
        </w:rPr>
        <w:t>Q2. Do you accept practice-oriented case studies?</w:t>
      </w:r>
      <w:r w:rsidRPr="003A031E">
        <w:br/>
        <w:t>Yes, provided they include theoretical grounding, methodological rigor, reliable data, and generalizable managerial insights.</w:t>
      </w:r>
    </w:p>
    <w:p w:rsidR="003A031E" w:rsidRPr="003A031E" w:rsidRDefault="003A031E" w:rsidP="00FF6103">
      <w:pPr>
        <w:pStyle w:val="a6"/>
        <w:numPr>
          <w:ilvl w:val="0"/>
          <w:numId w:val="20"/>
        </w:numPr>
        <w:spacing w:after="0"/>
        <w:ind w:leftChars="0"/>
      </w:pPr>
      <w:r w:rsidRPr="00CA3ABB">
        <w:rPr>
          <w:b/>
          <w:bCs/>
        </w:rPr>
        <w:t>Q3. If corporate data cannot be disclosed, what should authors do?</w:t>
      </w:r>
      <w:r w:rsidRPr="003A031E">
        <w:br/>
        <w:t>Indicate “available upon request” or “not available due to confidentiality,” and provide metadata/code/alternative material necessary for reproducibility.</w:t>
      </w:r>
    </w:p>
    <w:p w:rsidR="003A031E" w:rsidRPr="003A031E" w:rsidRDefault="003A031E" w:rsidP="00FF6103">
      <w:pPr>
        <w:pStyle w:val="a6"/>
        <w:numPr>
          <w:ilvl w:val="0"/>
          <w:numId w:val="20"/>
        </w:numPr>
        <w:spacing w:after="0"/>
        <w:ind w:leftChars="0"/>
      </w:pPr>
      <w:r w:rsidRPr="00CA3ABB">
        <w:rPr>
          <w:b/>
          <w:bCs/>
        </w:rPr>
        <w:t>Q4. Are there APCs?</w:t>
      </w:r>
      <w:r w:rsidRPr="003A031E">
        <w:br/>
        <w:t>Policies are posted on the website.</w:t>
      </w:r>
      <w:r w:rsidRPr="003A031E">
        <w:br/>
        <w:t>Editors, reviewers, and Special Issue contributors may receive waivers/exemptions.</w:t>
      </w:r>
    </w:p>
    <w:p w:rsidR="003A031E" w:rsidRPr="003A031E" w:rsidRDefault="003A031E" w:rsidP="00FF6103">
      <w:pPr>
        <w:pStyle w:val="a6"/>
        <w:numPr>
          <w:ilvl w:val="0"/>
          <w:numId w:val="20"/>
        </w:numPr>
        <w:spacing w:after="0"/>
        <w:ind w:leftChars="0"/>
      </w:pPr>
      <w:r w:rsidRPr="00CA3ABB">
        <w:rPr>
          <w:b/>
          <w:bCs/>
        </w:rPr>
        <w:t>Q5. Are simultaneous submissions allowed?</w:t>
      </w:r>
      <w:r w:rsidRPr="003A031E">
        <w:br/>
        <w:t>No. Exclusive review agreement is required at submission.</w:t>
      </w:r>
    </w:p>
    <w:p w:rsidR="003A031E" w:rsidRPr="003A031E" w:rsidRDefault="003A031E" w:rsidP="003A031E">
      <w:pPr>
        <w:spacing w:after="0"/>
      </w:pPr>
    </w:p>
    <w:p w:rsidR="00F118CD" w:rsidRPr="003A031E" w:rsidRDefault="00007A5F" w:rsidP="003A031E">
      <w:pPr>
        <w:spacing w:after="0"/>
      </w:pPr>
    </w:p>
    <w:sectPr w:rsidR="00F118CD" w:rsidRPr="003A03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5F" w:rsidRDefault="00007A5F" w:rsidP="007A0CA4">
      <w:pPr>
        <w:spacing w:after="0" w:line="240" w:lineRule="auto"/>
      </w:pPr>
      <w:r>
        <w:separator/>
      </w:r>
    </w:p>
  </w:endnote>
  <w:endnote w:type="continuationSeparator" w:id="0">
    <w:p w:rsidR="00007A5F" w:rsidRDefault="00007A5F" w:rsidP="007A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5F" w:rsidRDefault="00007A5F" w:rsidP="007A0CA4">
      <w:pPr>
        <w:spacing w:after="0" w:line="240" w:lineRule="auto"/>
      </w:pPr>
      <w:r>
        <w:separator/>
      </w:r>
    </w:p>
  </w:footnote>
  <w:footnote w:type="continuationSeparator" w:id="0">
    <w:p w:rsidR="00007A5F" w:rsidRDefault="00007A5F" w:rsidP="007A0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2B1"/>
    <w:multiLevelType w:val="hybridMultilevel"/>
    <w:tmpl w:val="7EB2086A"/>
    <w:lvl w:ilvl="0" w:tplc="3DD45F6C">
      <w:start w:val="1"/>
      <w:numFmt w:val="bullet"/>
      <w:lvlText w:val="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5704269"/>
    <w:multiLevelType w:val="multilevel"/>
    <w:tmpl w:val="0D34D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D2C9D"/>
    <w:multiLevelType w:val="hybridMultilevel"/>
    <w:tmpl w:val="95CC4C0C"/>
    <w:lvl w:ilvl="0" w:tplc="3DD45F6C">
      <w:start w:val="1"/>
      <w:numFmt w:val="bullet"/>
      <w:lvlText w:val="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0CA01435"/>
    <w:multiLevelType w:val="hybridMultilevel"/>
    <w:tmpl w:val="D7E29082"/>
    <w:lvl w:ilvl="0" w:tplc="513AAD6A">
      <w:start w:val="1"/>
      <w:numFmt w:val="decimal"/>
      <w:lvlText w:val="%1)"/>
      <w:lvlJc w:val="left"/>
      <w:pPr>
        <w:ind w:left="760" w:hanging="400"/>
      </w:pPr>
      <w:rPr>
        <w:rFonts w:hint="default"/>
        <w:b/>
      </w:rPr>
    </w:lvl>
    <w:lvl w:ilvl="1" w:tplc="3DD45F6C">
      <w:start w:val="1"/>
      <w:numFmt w:val="bullet"/>
      <w:lvlText w:val=""/>
      <w:lvlJc w:val="left"/>
      <w:pPr>
        <w:ind w:left="116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 w15:restartNumberingAfterBreak="0">
    <w:nsid w:val="0EA333C1"/>
    <w:multiLevelType w:val="multilevel"/>
    <w:tmpl w:val="5EDEC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755C9"/>
    <w:multiLevelType w:val="hybridMultilevel"/>
    <w:tmpl w:val="8014DCD0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3A422EC"/>
    <w:multiLevelType w:val="hybridMultilevel"/>
    <w:tmpl w:val="E78EC414"/>
    <w:lvl w:ilvl="0" w:tplc="513AAD6A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4471258"/>
    <w:multiLevelType w:val="multilevel"/>
    <w:tmpl w:val="FA58AF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1B97"/>
    <w:multiLevelType w:val="hybridMultilevel"/>
    <w:tmpl w:val="626675DC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 w15:restartNumberingAfterBreak="0">
    <w:nsid w:val="1C163ACB"/>
    <w:multiLevelType w:val="multilevel"/>
    <w:tmpl w:val="6E367EDA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1398F"/>
    <w:multiLevelType w:val="hybridMultilevel"/>
    <w:tmpl w:val="ABECED48"/>
    <w:lvl w:ilvl="0" w:tplc="513AAD6A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05E4798"/>
    <w:multiLevelType w:val="hybridMultilevel"/>
    <w:tmpl w:val="C7D85A00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341C6680"/>
    <w:multiLevelType w:val="hybridMultilevel"/>
    <w:tmpl w:val="223A4E70"/>
    <w:lvl w:ilvl="0" w:tplc="513AAD6A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56F1AD3"/>
    <w:multiLevelType w:val="multilevel"/>
    <w:tmpl w:val="78B652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36A4E"/>
    <w:multiLevelType w:val="multilevel"/>
    <w:tmpl w:val="13DC4D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6425C"/>
    <w:multiLevelType w:val="hybridMultilevel"/>
    <w:tmpl w:val="243C84E4"/>
    <w:lvl w:ilvl="0" w:tplc="513AAD6A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76E1B1C"/>
    <w:multiLevelType w:val="multilevel"/>
    <w:tmpl w:val="6F1032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F3518"/>
    <w:multiLevelType w:val="multilevel"/>
    <w:tmpl w:val="6E367EDA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E0A06"/>
    <w:multiLevelType w:val="hybridMultilevel"/>
    <w:tmpl w:val="5866CF90"/>
    <w:lvl w:ilvl="0" w:tplc="513AAD6A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81901C9"/>
    <w:multiLevelType w:val="hybridMultilevel"/>
    <w:tmpl w:val="E3EED648"/>
    <w:lvl w:ilvl="0" w:tplc="57BE8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5F1919D8"/>
    <w:multiLevelType w:val="hybridMultilevel"/>
    <w:tmpl w:val="456464B2"/>
    <w:lvl w:ilvl="0" w:tplc="513AAD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1" w15:restartNumberingAfterBreak="0">
    <w:nsid w:val="65D02798"/>
    <w:multiLevelType w:val="hybridMultilevel"/>
    <w:tmpl w:val="5BD44CC0"/>
    <w:lvl w:ilvl="0" w:tplc="513AAD6A">
      <w:start w:val="1"/>
      <w:numFmt w:val="decimal"/>
      <w:lvlText w:val="%1)"/>
      <w:lvlJc w:val="left"/>
      <w:pPr>
        <w:ind w:left="760" w:hanging="40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2" w15:restartNumberingAfterBreak="0">
    <w:nsid w:val="77444A01"/>
    <w:multiLevelType w:val="multilevel"/>
    <w:tmpl w:val="BF9E9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F102E"/>
    <w:multiLevelType w:val="hybridMultilevel"/>
    <w:tmpl w:val="F5DCB67A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 w15:restartNumberingAfterBreak="0">
    <w:nsid w:val="7E91589D"/>
    <w:multiLevelType w:val="hybridMultilevel"/>
    <w:tmpl w:val="735C279E"/>
    <w:lvl w:ilvl="0" w:tplc="513AAD6A">
      <w:start w:val="1"/>
      <w:numFmt w:val="decimal"/>
      <w:lvlText w:val="%1)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7"/>
  </w:num>
  <w:num w:numId="8">
    <w:abstractNumId w:val="22"/>
  </w:num>
  <w:num w:numId="9">
    <w:abstractNumId w:val="2"/>
  </w:num>
  <w:num w:numId="10">
    <w:abstractNumId w:val="0"/>
  </w:num>
  <w:num w:numId="11">
    <w:abstractNumId w:val="24"/>
  </w:num>
  <w:num w:numId="12">
    <w:abstractNumId w:val="14"/>
  </w:num>
  <w:num w:numId="13">
    <w:abstractNumId w:val="13"/>
  </w:num>
  <w:num w:numId="14">
    <w:abstractNumId w:val="21"/>
  </w:num>
  <w:num w:numId="15">
    <w:abstractNumId w:val="3"/>
  </w:num>
  <w:num w:numId="16">
    <w:abstractNumId w:val="16"/>
  </w:num>
  <w:num w:numId="17">
    <w:abstractNumId w:val="1"/>
  </w:num>
  <w:num w:numId="18">
    <w:abstractNumId w:val="10"/>
  </w:num>
  <w:num w:numId="19">
    <w:abstractNumId w:val="11"/>
  </w:num>
  <w:num w:numId="20">
    <w:abstractNumId w:val="12"/>
  </w:num>
  <w:num w:numId="21">
    <w:abstractNumId w:val="15"/>
  </w:num>
  <w:num w:numId="22">
    <w:abstractNumId w:val="5"/>
  </w:num>
  <w:num w:numId="23">
    <w:abstractNumId w:val="23"/>
  </w:num>
  <w:num w:numId="24">
    <w:abstractNumId w:val="18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1E"/>
    <w:rsid w:val="00007A5F"/>
    <w:rsid w:val="00040517"/>
    <w:rsid w:val="00264660"/>
    <w:rsid w:val="002675A5"/>
    <w:rsid w:val="003A031E"/>
    <w:rsid w:val="0047407E"/>
    <w:rsid w:val="005B6F2D"/>
    <w:rsid w:val="005C66F2"/>
    <w:rsid w:val="00664C08"/>
    <w:rsid w:val="006C21A6"/>
    <w:rsid w:val="006E29D9"/>
    <w:rsid w:val="0074467A"/>
    <w:rsid w:val="007A0CA4"/>
    <w:rsid w:val="007B4921"/>
    <w:rsid w:val="00835EEE"/>
    <w:rsid w:val="00A455A7"/>
    <w:rsid w:val="00A54A5C"/>
    <w:rsid w:val="00A73570"/>
    <w:rsid w:val="00A94B2B"/>
    <w:rsid w:val="00AA6C6B"/>
    <w:rsid w:val="00CA3ABB"/>
    <w:rsid w:val="00CE7942"/>
    <w:rsid w:val="00D572CA"/>
    <w:rsid w:val="00DB329A"/>
    <w:rsid w:val="00DC3D48"/>
    <w:rsid w:val="00E702EB"/>
    <w:rsid w:val="00FA2B45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CA435-3E57-45A8-A976-C3710ED6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A0C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0CA4"/>
  </w:style>
  <w:style w:type="paragraph" w:styleId="a5">
    <w:name w:val="footer"/>
    <w:basedOn w:val="a"/>
    <w:link w:val="Char0"/>
    <w:uiPriority w:val="99"/>
    <w:unhideWhenUsed/>
    <w:rsid w:val="007A0C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0CA4"/>
  </w:style>
  <w:style w:type="paragraph" w:styleId="a6">
    <w:name w:val="List Paragraph"/>
    <w:basedOn w:val="a"/>
    <w:uiPriority w:val="34"/>
    <w:qFormat/>
    <w:rsid w:val="007A0CA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15Z90RU</dc:creator>
  <cp:keywords/>
  <dc:description/>
  <cp:lastModifiedBy>Sang Hyun Kim</cp:lastModifiedBy>
  <cp:revision>13</cp:revision>
  <dcterms:created xsi:type="dcterms:W3CDTF">2025-11-13T05:05:00Z</dcterms:created>
  <dcterms:modified xsi:type="dcterms:W3CDTF">2026-01-16T07:50:00Z</dcterms:modified>
</cp:coreProperties>
</file>